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115F9">
      <w:pPr>
        <w:jc w:val="center"/>
      </w:pPr>
      <w:r>
        <w:drawing>
          <wp:inline distT="0" distB="0" distL="114300" distR="114300">
            <wp:extent cx="3571875" cy="854075"/>
            <wp:effectExtent l="0" t="0" r="9525" b="3175"/>
            <wp:docPr id="8" name="图片 7" descr="校标与中英文校名标准字组合（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校标与中英文校名标准字组合（横式）"/>
                    <pic:cNvPicPr>
                      <a:picLocks noChangeAspect="1"/>
                    </pic:cNvPicPr>
                  </pic:nvPicPr>
                  <pic:blipFill>
                    <a:blip r:embed="rId5"/>
                    <a:stretch>
                      <a:fillRect/>
                    </a:stretch>
                  </pic:blipFill>
                  <pic:spPr>
                    <a:xfrm>
                      <a:off x="0" y="0"/>
                      <a:ext cx="3571875" cy="854075"/>
                    </a:xfrm>
                    <a:prstGeom prst="rect">
                      <a:avLst/>
                    </a:prstGeom>
                  </pic:spPr>
                </pic:pic>
              </a:graphicData>
            </a:graphic>
          </wp:inline>
        </w:drawing>
      </w:r>
    </w:p>
    <w:p w14:paraId="325F9594">
      <w:pPr>
        <w:jc w:val="center"/>
      </w:pPr>
    </w:p>
    <w:p w14:paraId="2C4964F5">
      <w:pPr>
        <w:jc w:val="center"/>
      </w:pPr>
    </w:p>
    <w:p w14:paraId="483A0B89">
      <w:pPr>
        <w:jc w:val="center"/>
      </w:pPr>
    </w:p>
    <w:p w14:paraId="6A6F29F5">
      <w:pPr>
        <w:jc w:val="center"/>
      </w:pPr>
    </w:p>
    <w:p w14:paraId="0B87E75F">
      <w:pPr>
        <w:jc w:val="center"/>
        <w:rPr>
          <w:rFonts w:hint="eastAsia" w:ascii="方正小标宋简体" w:hAnsi="方正小标宋简体" w:eastAsia="方正小标宋简体" w:cs="方正小标宋简体"/>
          <w:sz w:val="56"/>
          <w:szCs w:val="72"/>
          <w:lang w:val="en-US" w:eastAsia="zh-CN"/>
        </w:rPr>
      </w:pPr>
      <w:r>
        <w:rPr>
          <w:rFonts w:hint="eastAsia" w:ascii="方正小标宋简体" w:hAnsi="方正小标宋简体" w:eastAsia="方正小标宋简体" w:cs="方正小标宋简体"/>
          <w:sz w:val="56"/>
          <w:szCs w:val="72"/>
          <w:lang w:val="en-US" w:eastAsia="zh-CN"/>
        </w:rPr>
        <w:t>临床医学专业认证应知应会手册</w:t>
      </w:r>
    </w:p>
    <w:p w14:paraId="05E163CA">
      <w:pPr>
        <w:jc w:val="center"/>
        <w:rPr>
          <w:rFonts w:hint="eastAsia" w:ascii="方正小标宋简体" w:hAnsi="方正小标宋简体" w:eastAsia="方正小标宋简体" w:cs="方正小标宋简体"/>
          <w:sz w:val="56"/>
          <w:szCs w:val="72"/>
          <w:lang w:val="en-US" w:eastAsia="zh-CN"/>
        </w:rPr>
      </w:pPr>
    </w:p>
    <w:p w14:paraId="2B392855">
      <w:pPr>
        <w:jc w:val="center"/>
      </w:pPr>
      <w:r>
        <w:drawing>
          <wp:inline distT="0" distB="0" distL="114300" distR="114300">
            <wp:extent cx="4947920" cy="3005455"/>
            <wp:effectExtent l="0" t="0" r="5080"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srcRect r="14374"/>
                    <a:stretch>
                      <a:fillRect/>
                    </a:stretch>
                  </pic:blipFill>
                  <pic:spPr>
                    <a:xfrm>
                      <a:off x="0" y="0"/>
                      <a:ext cx="4947920" cy="3006029"/>
                    </a:xfrm>
                    <a:prstGeom prst="rect">
                      <a:avLst/>
                    </a:prstGeom>
                    <a:noFill/>
                    <a:ln w="9525">
                      <a:noFill/>
                      <a:miter lim="800000"/>
                      <a:headEnd/>
                      <a:tailEnd/>
                    </a:ln>
                  </pic:spPr>
                </pic:pic>
              </a:graphicData>
            </a:graphic>
          </wp:inline>
        </w:drawing>
      </w:r>
    </w:p>
    <w:p w14:paraId="24C0E51A">
      <w:pPr>
        <w:jc w:val="center"/>
      </w:pPr>
    </w:p>
    <w:p w14:paraId="3D57CEC9">
      <w:pPr>
        <w:jc w:val="center"/>
      </w:pPr>
    </w:p>
    <w:p w14:paraId="0D784944">
      <w:pPr>
        <w:jc w:val="center"/>
      </w:pPr>
    </w:p>
    <w:p w14:paraId="7B00E761">
      <w:pPr>
        <w:jc w:val="center"/>
        <w:rPr>
          <w:rFonts w:hint="eastAsia" w:asciiTheme="minorEastAsia" w:hAnsiTheme="minorEastAsia" w:eastAsiaTheme="minorEastAsia" w:cstheme="minorEastAsia"/>
          <w:sz w:val="28"/>
          <w:szCs w:val="36"/>
        </w:rPr>
      </w:pPr>
    </w:p>
    <w:p w14:paraId="7B186314">
      <w:pPr>
        <w:jc w:val="center"/>
        <w:rPr>
          <w:rFonts w:hint="eastAsia" w:asciiTheme="minorEastAsia" w:hAnsiTheme="minorEastAsia" w:eastAsiaTheme="minorEastAsia" w:cstheme="minorEastAsia"/>
          <w:sz w:val="28"/>
          <w:szCs w:val="36"/>
          <w:lang w:val="en-US" w:eastAsia="zh-CN"/>
        </w:rPr>
      </w:pPr>
      <w:r>
        <w:rPr>
          <w:rFonts w:hint="eastAsia" w:asciiTheme="minorEastAsia" w:hAnsiTheme="minorEastAsia" w:eastAsiaTheme="minorEastAsia" w:cstheme="minorEastAsia"/>
          <w:sz w:val="28"/>
          <w:szCs w:val="36"/>
          <w:lang w:val="en-US" w:eastAsia="zh-CN"/>
        </w:rPr>
        <w:t>豫北医学院</w:t>
      </w:r>
    </w:p>
    <w:p w14:paraId="0EA8022E">
      <w:pPr>
        <w:jc w:val="center"/>
        <w:rPr>
          <w:rFonts w:hint="eastAsia" w:asciiTheme="minorEastAsia" w:hAnsiTheme="minorEastAsia" w:eastAsiaTheme="minorEastAsia" w:cstheme="minorEastAsia"/>
          <w:sz w:val="28"/>
          <w:szCs w:val="36"/>
          <w:lang w:val="en-US" w:eastAsia="zh-CN"/>
        </w:rPr>
      </w:pPr>
      <w:r>
        <w:rPr>
          <w:rFonts w:hint="eastAsia" w:asciiTheme="minorEastAsia" w:hAnsiTheme="minorEastAsia" w:cstheme="minorEastAsia"/>
          <w:sz w:val="28"/>
          <w:szCs w:val="36"/>
          <w:lang w:val="en-US" w:eastAsia="zh-CN"/>
        </w:rPr>
        <w:t>二零二六</w:t>
      </w:r>
      <w:r>
        <w:rPr>
          <w:rFonts w:hint="eastAsia" w:asciiTheme="minorEastAsia" w:hAnsiTheme="minorEastAsia" w:eastAsiaTheme="minorEastAsia" w:cstheme="minorEastAsia"/>
          <w:sz w:val="28"/>
          <w:szCs w:val="36"/>
          <w:lang w:val="en-US" w:eastAsia="zh-CN"/>
        </w:rPr>
        <w:t>年</w:t>
      </w:r>
      <w:r>
        <w:rPr>
          <w:rFonts w:hint="eastAsia" w:asciiTheme="minorEastAsia" w:hAnsiTheme="minorEastAsia" w:cstheme="minorEastAsia"/>
          <w:sz w:val="28"/>
          <w:szCs w:val="36"/>
          <w:lang w:val="en-US" w:eastAsia="zh-CN"/>
        </w:rPr>
        <w:t>一</w:t>
      </w:r>
      <w:r>
        <w:rPr>
          <w:rFonts w:hint="eastAsia" w:asciiTheme="minorEastAsia" w:hAnsiTheme="minorEastAsia" w:eastAsiaTheme="minorEastAsia" w:cstheme="minorEastAsia"/>
          <w:sz w:val="28"/>
          <w:szCs w:val="36"/>
          <w:lang w:val="en-US" w:eastAsia="zh-CN"/>
        </w:rPr>
        <w:t>月</w:t>
      </w:r>
    </w:p>
    <w:p w14:paraId="78084199">
      <w:pPr>
        <w:jc w:val="center"/>
        <w:rPr>
          <w:rFonts w:hint="eastAsia" w:asciiTheme="minorEastAsia" w:hAnsiTheme="minorEastAsia" w:eastAsiaTheme="minorEastAsia" w:cstheme="minorEastAsia"/>
          <w:sz w:val="28"/>
          <w:szCs w:val="36"/>
          <w:lang w:val="en-US" w:eastAsia="zh-CN"/>
        </w:rPr>
      </w:pPr>
    </w:p>
    <w:p w14:paraId="6DB66B89">
      <w:pPr>
        <w:jc w:val="center"/>
        <w:rPr>
          <w:rFonts w:hint="eastAsia" w:asciiTheme="minorEastAsia" w:hAnsiTheme="minorEastAsia" w:eastAsiaTheme="minorEastAsia" w:cstheme="minorEastAsia"/>
          <w:sz w:val="28"/>
          <w:szCs w:val="36"/>
          <w:lang w:val="en-US" w:eastAsia="zh-CN"/>
        </w:rPr>
      </w:pPr>
    </w:p>
    <w:p w14:paraId="7BCD15B9">
      <w:pPr>
        <w:jc w:val="center"/>
        <w:rPr>
          <w:rFonts w:hint="eastAsia" w:ascii="方正小标宋简体" w:hAnsi="方正小标宋简体" w:eastAsia="方正小标宋简体" w:cs="方正小标宋简体"/>
          <w:sz w:val="40"/>
          <w:szCs w:val="48"/>
          <w:lang w:val="en-US" w:eastAsia="zh-CN"/>
        </w:rPr>
      </w:pPr>
    </w:p>
    <w:p w14:paraId="5BF88050">
      <w:pPr>
        <w:jc w:val="center"/>
        <w:rPr>
          <w:rFonts w:hint="eastAsia" w:ascii="方正小标宋简体" w:hAnsi="方正小标宋简体" w:eastAsia="方正小标宋简体" w:cs="方正小标宋简体"/>
          <w:sz w:val="40"/>
          <w:szCs w:val="48"/>
          <w:lang w:val="en-US" w:eastAsia="zh-CN"/>
        </w:rPr>
      </w:pPr>
      <w:r>
        <w:rPr>
          <w:rFonts w:hint="eastAsia" w:ascii="方正小标宋简体" w:hAnsi="方正小标宋简体" w:eastAsia="方正小标宋简体" w:cs="方正小标宋简体"/>
          <w:sz w:val="40"/>
          <w:szCs w:val="48"/>
          <w:lang w:val="en-US" w:eastAsia="zh-CN"/>
        </w:rPr>
        <w:t>序    言</w:t>
      </w:r>
    </w:p>
    <w:p w14:paraId="59C007C9">
      <w:pPr>
        <w:jc w:val="both"/>
        <w:rPr>
          <w:rFonts w:hint="eastAsia" w:asciiTheme="minorEastAsia" w:hAnsiTheme="minorEastAsia" w:eastAsiaTheme="minorEastAsia" w:cstheme="minorEastAsia"/>
          <w:sz w:val="28"/>
          <w:szCs w:val="36"/>
          <w:lang w:val="en-US" w:eastAsia="zh-CN"/>
        </w:rPr>
      </w:pPr>
    </w:p>
    <w:p w14:paraId="3879492D">
      <w:pPr>
        <w:ind w:firstLine="560" w:firstLineChars="200"/>
        <w:jc w:val="both"/>
        <w:rPr>
          <w:rFonts w:hint="default" w:ascii="Times New Roman" w:hAnsi="Times New Roman" w:eastAsia="仿宋_GB2312" w:cs="Times New Roman"/>
          <w:color w:val="auto"/>
          <w:sz w:val="28"/>
          <w:szCs w:val="36"/>
          <w:lang w:val="en-US" w:eastAsia="zh-CN"/>
        </w:rPr>
      </w:pPr>
      <w:r>
        <w:rPr>
          <w:rFonts w:hint="default" w:ascii="Times New Roman" w:hAnsi="Times New Roman" w:eastAsia="仿宋_GB2312" w:cs="Times New Roman"/>
          <w:color w:val="auto"/>
          <w:sz w:val="28"/>
          <w:szCs w:val="36"/>
          <w:lang w:val="en-US" w:eastAsia="zh-CN"/>
        </w:rPr>
        <w:t>临床医学专业认证是医学教育发展的必然要求，是保证医学教育质量持续改进、促进教育质量国际同质等效的有效手段。</w:t>
      </w:r>
    </w:p>
    <w:p w14:paraId="1EA99339">
      <w:pPr>
        <w:ind w:firstLine="560" w:firstLineChars="200"/>
        <w:jc w:val="both"/>
        <w:rPr>
          <w:rFonts w:hint="default" w:ascii="Times New Roman" w:hAnsi="Times New Roman" w:eastAsia="仿宋_GB2312" w:cs="Times New Roman"/>
          <w:color w:val="auto"/>
          <w:sz w:val="28"/>
          <w:szCs w:val="36"/>
          <w:lang w:val="en-US" w:eastAsia="zh-CN"/>
        </w:rPr>
      </w:pPr>
      <w:r>
        <w:rPr>
          <w:rFonts w:hint="default" w:ascii="Times New Roman" w:hAnsi="Times New Roman" w:eastAsia="仿宋_GB2312" w:cs="Times New Roman"/>
          <w:color w:val="auto"/>
          <w:sz w:val="28"/>
          <w:szCs w:val="36"/>
          <w:lang w:val="en-US" w:eastAsia="zh-CN"/>
        </w:rPr>
        <w:t>自 2008 年教育部和原卫生部颁布《本科医学教育标准—临床医学专业（试行）》之后，我国逐步开展了本科临床医学专业认证工作，初步建立了中国临床医学专业认证制度。截至2021 年底，教育部临床医学专业认证工作委员会已经完成了我国高等医学院校的本科临床医学专业首轮认证。</w:t>
      </w:r>
    </w:p>
    <w:p w14:paraId="5C13855E">
      <w:pPr>
        <w:ind w:firstLine="560" w:firstLineChars="200"/>
        <w:jc w:val="both"/>
        <w:rPr>
          <w:rFonts w:hint="default" w:ascii="Times New Roman" w:hAnsi="Times New Roman" w:eastAsia="仿宋_GB2312" w:cs="Times New Roman"/>
          <w:color w:val="auto"/>
          <w:sz w:val="28"/>
          <w:szCs w:val="36"/>
          <w:lang w:val="en-US" w:eastAsia="zh-CN"/>
        </w:rPr>
      </w:pPr>
      <w:r>
        <w:rPr>
          <w:rFonts w:hint="default" w:ascii="Times New Roman" w:hAnsi="Times New Roman" w:eastAsia="仿宋_GB2312" w:cs="Times New Roman"/>
          <w:color w:val="auto"/>
          <w:sz w:val="28"/>
          <w:szCs w:val="36"/>
          <w:lang w:val="en-US" w:eastAsia="zh-CN"/>
        </w:rPr>
        <w:t>202</w:t>
      </w:r>
      <w:r>
        <w:rPr>
          <w:rFonts w:hint="eastAsia" w:ascii="Times New Roman" w:hAnsi="Times New Roman" w:eastAsia="仿宋_GB2312" w:cs="Times New Roman"/>
          <w:color w:val="auto"/>
          <w:sz w:val="28"/>
          <w:szCs w:val="36"/>
          <w:lang w:val="en-US" w:eastAsia="zh-CN"/>
        </w:rPr>
        <w:t>6</w:t>
      </w:r>
      <w:r>
        <w:rPr>
          <w:rFonts w:hint="default" w:ascii="Times New Roman" w:hAnsi="Times New Roman" w:eastAsia="仿宋_GB2312" w:cs="Times New Roman"/>
          <w:color w:val="auto"/>
          <w:sz w:val="28"/>
          <w:szCs w:val="36"/>
          <w:lang w:val="en-US" w:eastAsia="zh-CN"/>
        </w:rPr>
        <w:t xml:space="preserve"> 年 9 月，</w:t>
      </w:r>
      <w:r>
        <w:rPr>
          <w:rFonts w:hint="eastAsia" w:ascii="Times New Roman" w:hAnsi="Times New Roman" w:eastAsia="仿宋_GB2312" w:cs="Times New Roman"/>
          <w:color w:val="auto"/>
          <w:sz w:val="28"/>
          <w:szCs w:val="36"/>
          <w:lang w:val="en-US" w:eastAsia="zh-CN"/>
        </w:rPr>
        <w:t>豫北医学院</w:t>
      </w:r>
      <w:r>
        <w:rPr>
          <w:rFonts w:hint="default" w:ascii="Times New Roman" w:hAnsi="Times New Roman" w:eastAsia="仿宋_GB2312" w:cs="Times New Roman"/>
          <w:color w:val="auto"/>
          <w:sz w:val="28"/>
          <w:szCs w:val="36"/>
          <w:lang w:val="en-US" w:eastAsia="zh-CN"/>
        </w:rPr>
        <w:t>临床医学专业将迎来教育部临床医学专业认证专家现场考察。我校将以此次临床医学专业认证为契机，进一步完善临床医学教学体系，加强临床医学专业内涵建设，提高医学人才培养质量。</w:t>
      </w:r>
    </w:p>
    <w:p w14:paraId="25FADD60">
      <w:pPr>
        <w:jc w:val="center"/>
        <w:rPr>
          <w:rFonts w:hint="eastAsia" w:asciiTheme="minorEastAsia" w:hAnsiTheme="minorEastAsia" w:eastAsiaTheme="minorEastAsia" w:cstheme="minorEastAsia"/>
          <w:sz w:val="28"/>
          <w:szCs w:val="36"/>
          <w:lang w:val="en-US" w:eastAsia="zh-CN"/>
        </w:rPr>
      </w:pPr>
    </w:p>
    <w:p w14:paraId="047C2F41">
      <w:pPr>
        <w:jc w:val="center"/>
        <w:rPr>
          <w:rFonts w:hint="eastAsia" w:asciiTheme="minorEastAsia" w:hAnsiTheme="minorEastAsia" w:eastAsiaTheme="minorEastAsia" w:cstheme="minorEastAsia"/>
          <w:sz w:val="28"/>
          <w:szCs w:val="36"/>
          <w:lang w:val="en-US" w:eastAsia="zh-CN"/>
        </w:rPr>
      </w:pPr>
    </w:p>
    <w:p w14:paraId="3BA0223B">
      <w:pPr>
        <w:jc w:val="center"/>
        <w:rPr>
          <w:rFonts w:hint="eastAsia" w:asciiTheme="minorEastAsia" w:hAnsiTheme="minorEastAsia" w:eastAsiaTheme="minorEastAsia" w:cstheme="minorEastAsia"/>
          <w:sz w:val="28"/>
          <w:szCs w:val="36"/>
          <w:lang w:val="en-US" w:eastAsia="zh-CN"/>
        </w:rPr>
      </w:pPr>
    </w:p>
    <w:p w14:paraId="186EBCCC">
      <w:pPr>
        <w:jc w:val="center"/>
        <w:rPr>
          <w:rFonts w:hint="eastAsia" w:asciiTheme="minorEastAsia" w:hAnsiTheme="minorEastAsia" w:eastAsiaTheme="minorEastAsia" w:cstheme="minorEastAsia"/>
          <w:sz w:val="28"/>
          <w:szCs w:val="36"/>
          <w:lang w:val="en-US" w:eastAsia="zh-CN"/>
        </w:rPr>
      </w:pPr>
    </w:p>
    <w:p w14:paraId="3627181B">
      <w:pPr>
        <w:jc w:val="center"/>
        <w:rPr>
          <w:rFonts w:hint="eastAsia" w:asciiTheme="minorEastAsia" w:hAnsiTheme="minorEastAsia" w:eastAsiaTheme="minorEastAsia" w:cstheme="minorEastAsia"/>
          <w:sz w:val="28"/>
          <w:szCs w:val="36"/>
          <w:lang w:val="en-US" w:eastAsia="zh-CN"/>
        </w:rPr>
      </w:pPr>
    </w:p>
    <w:p w14:paraId="495FCDE7">
      <w:pPr>
        <w:jc w:val="center"/>
        <w:rPr>
          <w:rFonts w:hint="eastAsia" w:asciiTheme="minorEastAsia" w:hAnsiTheme="minorEastAsia" w:eastAsiaTheme="minorEastAsia" w:cstheme="minorEastAsia"/>
          <w:sz w:val="28"/>
          <w:szCs w:val="36"/>
          <w:lang w:val="en-US" w:eastAsia="zh-CN"/>
        </w:rPr>
      </w:pPr>
    </w:p>
    <w:p w14:paraId="6247569C">
      <w:pPr>
        <w:jc w:val="center"/>
        <w:rPr>
          <w:rFonts w:hint="eastAsia" w:asciiTheme="minorEastAsia" w:hAnsiTheme="minorEastAsia" w:eastAsiaTheme="minorEastAsia" w:cstheme="minorEastAsia"/>
          <w:sz w:val="28"/>
          <w:szCs w:val="36"/>
          <w:lang w:val="en-US" w:eastAsia="zh-CN"/>
        </w:rPr>
      </w:pPr>
    </w:p>
    <w:p w14:paraId="47295219">
      <w:pPr>
        <w:jc w:val="center"/>
        <w:rPr>
          <w:rFonts w:hint="eastAsia" w:asciiTheme="minorEastAsia" w:hAnsiTheme="minorEastAsia" w:eastAsiaTheme="minorEastAsia" w:cstheme="minorEastAsia"/>
          <w:sz w:val="28"/>
          <w:szCs w:val="36"/>
          <w:lang w:val="en-US" w:eastAsia="zh-CN"/>
        </w:rPr>
      </w:pPr>
    </w:p>
    <w:p w14:paraId="7C51460F">
      <w:pPr>
        <w:jc w:val="center"/>
        <w:rPr>
          <w:rFonts w:hint="eastAsia" w:ascii="方正小标宋简体" w:hAnsi="方正小标宋简体" w:eastAsia="方正小标宋简体" w:cs="方正小标宋简体"/>
          <w:sz w:val="32"/>
          <w:szCs w:val="40"/>
          <w:lang w:val="en-US" w:eastAsia="zh-CN"/>
        </w:rPr>
      </w:pPr>
      <w:r>
        <w:rPr>
          <w:rFonts w:hint="eastAsia" w:ascii="方正小标宋简体" w:hAnsi="方正小标宋简体" w:eastAsia="方正小标宋简体" w:cs="方正小标宋简体"/>
          <w:sz w:val="32"/>
          <w:szCs w:val="40"/>
          <w:lang w:val="en-US" w:eastAsia="zh-CN"/>
        </w:rPr>
        <w:t>目 录</w:t>
      </w:r>
    </w:p>
    <w:p w14:paraId="7686546D">
      <w:pPr>
        <w:jc w:val="left"/>
        <w:rPr>
          <w:rFonts w:hint="eastAsia" w:asciiTheme="minorEastAsia" w:hAnsiTheme="minorEastAsia" w:eastAsiaTheme="minorEastAsia" w:cstheme="minorEastAsia"/>
          <w:sz w:val="28"/>
          <w:szCs w:val="36"/>
          <w:lang w:val="en-US" w:eastAsia="zh-CN"/>
        </w:rPr>
      </w:pPr>
    </w:p>
    <w:p w14:paraId="18247C6F">
      <w:pPr>
        <w:jc w:val="left"/>
        <w:rPr>
          <w:rFonts w:hint="default" w:ascii="Times New Roman" w:hAnsi="Times New Roman" w:eastAsia="黑体" w:cs="Times New Roman"/>
          <w:sz w:val="28"/>
          <w:szCs w:val="36"/>
          <w:lang w:val="en-US" w:eastAsia="zh-CN"/>
        </w:rPr>
      </w:pPr>
      <w:r>
        <w:rPr>
          <w:rFonts w:hint="default" w:ascii="Times New Roman" w:hAnsi="Times New Roman" w:eastAsia="黑体" w:cs="Times New Roman"/>
          <w:sz w:val="28"/>
          <w:szCs w:val="36"/>
          <w:lang w:val="en-US" w:eastAsia="zh-CN"/>
        </w:rPr>
        <w:t>第一部分  学校基本情况</w:t>
      </w:r>
      <w:r>
        <w:rPr>
          <w:rFonts w:hint="default" w:ascii="Times New Roman" w:hAnsi="Times New Roman" w:eastAsia="微软雅黑" w:cs="Times New Roman"/>
          <w:sz w:val="28"/>
          <w:szCs w:val="36"/>
          <w:lang w:val="en-US" w:eastAsia="zh-CN"/>
        </w:rPr>
        <w:t>………………………………………………</w:t>
      </w:r>
      <w:r>
        <w:rPr>
          <w:rFonts w:hint="default" w:ascii="Times New Roman" w:hAnsi="Times New Roman" w:eastAsia="黑体" w:cs="Times New Roman"/>
          <w:sz w:val="28"/>
          <w:szCs w:val="36"/>
          <w:lang w:val="en-US" w:eastAsia="zh-CN"/>
        </w:rPr>
        <w:t>1</w:t>
      </w:r>
    </w:p>
    <w:p w14:paraId="7E2A122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一、学校简介</w:t>
      </w:r>
      <w:r>
        <w:rPr>
          <w:rFonts w:hint="default" w:ascii="Times New Roman" w:hAnsi="Times New Roman" w:eastAsia="微软雅黑" w:cs="Times New Roman"/>
          <w:sz w:val="28"/>
          <w:szCs w:val="36"/>
          <w:lang w:val="en-US" w:eastAsia="zh-CN"/>
        </w:rPr>
        <w:t>……………………………………………………………</w:t>
      </w:r>
      <w:r>
        <w:rPr>
          <w:rFonts w:hint="default" w:ascii="Times New Roman" w:hAnsi="Times New Roman" w:eastAsia="仿宋_GB2312" w:cs="Times New Roman"/>
          <w:sz w:val="28"/>
          <w:szCs w:val="36"/>
          <w:lang w:val="en-US" w:eastAsia="zh-CN"/>
        </w:rPr>
        <w:t>1</w:t>
      </w:r>
    </w:p>
    <w:p w14:paraId="526ED04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二、办学指导思想与定位</w:t>
      </w:r>
      <w:r>
        <w:rPr>
          <w:rFonts w:hint="default" w:ascii="Times New Roman" w:hAnsi="Times New Roman" w:eastAsia="微软雅黑" w:cs="Times New Roman"/>
          <w:sz w:val="28"/>
          <w:szCs w:val="36"/>
          <w:lang w:val="en-US" w:eastAsia="zh-CN"/>
        </w:rPr>
        <w:t>………………………………………………8</w:t>
      </w:r>
    </w:p>
    <w:p w14:paraId="2B81635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三、学校现任领导班子</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9</w:t>
      </w:r>
    </w:p>
    <w:p w14:paraId="278E146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四、校徽</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10</w:t>
      </w:r>
    </w:p>
    <w:p w14:paraId="1149DA93">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黑体" w:cs="Times New Roman"/>
          <w:sz w:val="28"/>
          <w:szCs w:val="36"/>
          <w:lang w:val="en-US" w:eastAsia="zh-CN"/>
        </w:rPr>
        <w:t>第二部分  临床医学专业情况</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 xml:space="preserve"> 11</w:t>
      </w:r>
    </w:p>
    <w:p w14:paraId="6610F19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一、</w:t>
      </w:r>
      <w:r>
        <w:rPr>
          <w:rFonts w:hint="eastAsia" w:ascii="Times New Roman" w:hAnsi="Times New Roman" w:eastAsia="仿宋_GB2312" w:cs="Times New Roman"/>
          <w:sz w:val="28"/>
          <w:szCs w:val="36"/>
          <w:lang w:val="en-US" w:eastAsia="zh-CN"/>
        </w:rPr>
        <w:t>专业介绍</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11</w:t>
      </w:r>
    </w:p>
    <w:p w14:paraId="4D9A3B3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二、办学规模</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12</w:t>
      </w:r>
    </w:p>
    <w:p w14:paraId="4DE963A7">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三、办学条件</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12</w:t>
      </w:r>
    </w:p>
    <w:p w14:paraId="19848FD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四、核心课程</w:t>
      </w:r>
      <w:r>
        <w:rPr>
          <w:rFonts w:hint="default" w:ascii="Times New Roman" w:hAnsi="Times New Roman" w:eastAsia="微软雅黑" w:cs="Times New Roman"/>
          <w:sz w:val="28"/>
          <w:szCs w:val="36"/>
          <w:lang w:val="en-US" w:eastAsia="zh-CN"/>
        </w:rPr>
        <w:t>……………………………………………………………</w:t>
      </w:r>
      <w:r>
        <w:rPr>
          <w:rFonts w:hint="default" w:ascii="Times New Roman" w:hAnsi="Times New Roman" w:eastAsia="仿宋_GB2312" w:cs="Times New Roman"/>
          <w:sz w:val="28"/>
          <w:szCs w:val="36"/>
          <w:lang w:val="en-US" w:eastAsia="zh-CN"/>
        </w:rPr>
        <w:t>1</w:t>
      </w:r>
      <w:r>
        <w:rPr>
          <w:rFonts w:hint="eastAsia" w:ascii="Times New Roman" w:hAnsi="Times New Roman" w:eastAsia="仿宋_GB2312" w:cs="Times New Roman"/>
          <w:sz w:val="28"/>
          <w:szCs w:val="36"/>
          <w:lang w:val="en-US" w:eastAsia="zh-CN"/>
        </w:rPr>
        <w:t>6</w:t>
      </w:r>
    </w:p>
    <w:p w14:paraId="371AC4EF">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五、就业趋向</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16</w:t>
      </w:r>
    </w:p>
    <w:p w14:paraId="49FBC2DF">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黑体" w:cs="Times New Roman"/>
          <w:sz w:val="28"/>
          <w:szCs w:val="36"/>
          <w:lang w:val="en-US" w:eastAsia="zh-CN"/>
        </w:rPr>
        <w:t>第</w:t>
      </w:r>
      <w:r>
        <w:rPr>
          <w:rFonts w:hint="eastAsia" w:ascii="Times New Roman" w:hAnsi="Times New Roman" w:eastAsia="黑体" w:cs="Times New Roman"/>
          <w:sz w:val="28"/>
          <w:szCs w:val="36"/>
          <w:lang w:val="en-US" w:eastAsia="zh-CN"/>
        </w:rPr>
        <w:t>三</w:t>
      </w:r>
      <w:r>
        <w:rPr>
          <w:rFonts w:hint="default" w:ascii="Times New Roman" w:hAnsi="Times New Roman" w:eastAsia="黑体" w:cs="Times New Roman"/>
          <w:sz w:val="28"/>
          <w:szCs w:val="36"/>
          <w:lang w:val="en-US" w:eastAsia="zh-CN"/>
        </w:rPr>
        <w:t>部分  临床医学专业认证知识</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17</w:t>
      </w:r>
    </w:p>
    <w:p w14:paraId="0520066A">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一、医学</w:t>
      </w:r>
      <w:r>
        <w:rPr>
          <w:rFonts w:hint="eastAsia" w:ascii="Times New Roman" w:hAnsi="Times New Roman" w:eastAsia="仿宋_GB2312" w:cs="Times New Roman"/>
          <w:sz w:val="28"/>
          <w:szCs w:val="36"/>
          <w:lang w:val="en-US" w:eastAsia="zh-CN"/>
        </w:rPr>
        <w:t>教育</w:t>
      </w:r>
      <w:r>
        <w:rPr>
          <w:rFonts w:hint="default" w:ascii="Times New Roman" w:hAnsi="Times New Roman" w:eastAsia="仿宋_GB2312" w:cs="Times New Roman"/>
          <w:sz w:val="28"/>
          <w:szCs w:val="36"/>
          <w:lang w:val="en-US" w:eastAsia="zh-CN"/>
        </w:rPr>
        <w:t>认证的概念</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17</w:t>
      </w:r>
    </w:p>
    <w:p w14:paraId="687C7CB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二、医学教育认证的基本要素</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17</w:t>
      </w:r>
    </w:p>
    <w:p w14:paraId="1095AB3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三、临床医学专业认证</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19</w:t>
      </w:r>
    </w:p>
    <w:p w14:paraId="7042B4D7">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四、我国有多少所院校通过了临床医学专业认证</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21</w:t>
      </w:r>
    </w:p>
    <w:p w14:paraId="6FB1EC7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五、教育部临床专业认证工作委员会是否通过国际认证</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21</w:t>
      </w:r>
    </w:p>
    <w:p w14:paraId="38DFCE0F">
      <w:pPr>
        <w:numPr>
          <w:ilvl w:val="0"/>
          <w:numId w:val="0"/>
        </w:numPr>
        <w:spacing w:before="78" w:line="360" w:lineRule="auto"/>
        <w:outlineLvl w:val="1"/>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六、现场考察的工作时间一般为多长时间</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21</w:t>
      </w:r>
    </w:p>
    <w:p w14:paraId="7DCCB8A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七、现场考察包括哪些内容</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21</w:t>
      </w:r>
    </w:p>
    <w:p w14:paraId="019D928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八、临床医学专业认证有哪几种结论</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22</w:t>
      </w:r>
    </w:p>
    <w:p w14:paraId="1F3E817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九、教育部认证专家组进入我校进行考察时间</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22</w:t>
      </w:r>
    </w:p>
    <w:p w14:paraId="1A286A24">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十、医学院临床医学专业认证专题在官网哪个位置</w:t>
      </w:r>
      <w:r>
        <w:rPr>
          <w:rFonts w:hint="default" w:ascii="Times New Roman" w:hAnsi="Times New Roman" w:eastAsia="微软雅黑" w:cs="Times New Roman"/>
          <w:sz w:val="28"/>
          <w:szCs w:val="36"/>
          <w:lang w:val="en-US" w:eastAsia="zh-CN"/>
        </w:rPr>
        <w:t>…………………</w:t>
      </w:r>
      <w:r>
        <w:rPr>
          <w:rFonts w:hint="default" w:ascii="Times New Roman" w:hAnsi="Times New Roman" w:eastAsia="仿宋_GB2312" w:cs="Times New Roman"/>
          <w:sz w:val="28"/>
          <w:szCs w:val="36"/>
          <w:lang w:val="en-US" w:eastAsia="zh-CN"/>
        </w:rPr>
        <w:t>2</w:t>
      </w:r>
      <w:r>
        <w:rPr>
          <w:rFonts w:hint="eastAsia" w:ascii="Times New Roman" w:hAnsi="Times New Roman" w:eastAsia="仿宋_GB2312" w:cs="Times New Roman"/>
          <w:sz w:val="28"/>
          <w:szCs w:val="36"/>
          <w:lang w:val="en-US" w:eastAsia="zh-CN"/>
        </w:rPr>
        <w:t>2</w:t>
      </w:r>
    </w:p>
    <w:p w14:paraId="01037F6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十一、专业认证与本科教学审核评估的区别</w:t>
      </w:r>
      <w:r>
        <w:rPr>
          <w:rFonts w:hint="default" w:ascii="Times New Roman" w:hAnsi="Times New Roman" w:eastAsia="微软雅黑" w:cs="Times New Roman"/>
          <w:sz w:val="28"/>
          <w:szCs w:val="36"/>
          <w:lang w:val="en-US" w:eastAsia="zh-CN"/>
        </w:rPr>
        <w:t>…………………………</w:t>
      </w:r>
      <w:r>
        <w:rPr>
          <w:rFonts w:hint="default" w:ascii="Times New Roman" w:hAnsi="Times New Roman" w:eastAsia="仿宋_GB2312" w:cs="Times New Roman"/>
          <w:sz w:val="28"/>
          <w:szCs w:val="36"/>
          <w:lang w:val="en-US" w:eastAsia="zh-CN"/>
        </w:rPr>
        <w:t>2</w:t>
      </w:r>
      <w:r>
        <w:rPr>
          <w:rFonts w:hint="eastAsia" w:ascii="Times New Roman" w:hAnsi="Times New Roman" w:eastAsia="仿宋_GB2312" w:cs="Times New Roman"/>
          <w:sz w:val="28"/>
          <w:szCs w:val="36"/>
          <w:lang w:val="en-US" w:eastAsia="zh-CN"/>
        </w:rPr>
        <w:t>2</w:t>
      </w:r>
    </w:p>
    <w:p w14:paraId="585D80E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十二、中国本科临床医学专业教育的办学标准的关注要点</w:t>
      </w:r>
      <w:r>
        <w:rPr>
          <w:rFonts w:hint="default" w:ascii="Times New Roman" w:hAnsi="Times New Roman" w:eastAsia="仿宋_GB2312" w:cs="Times New Roman"/>
          <w:sz w:val="28"/>
          <w:szCs w:val="36"/>
          <w:lang w:val="en-US" w:eastAsia="zh-CN"/>
        </w:rPr>
        <w:tab/>
      </w:r>
      <w:r>
        <w:rPr>
          <w:rFonts w:hint="default" w:ascii="Times New Roman" w:hAnsi="Times New Roman" w:eastAsia="微软雅黑" w:cs="Times New Roman"/>
          <w:sz w:val="28"/>
          <w:szCs w:val="36"/>
          <w:lang w:val="en-US" w:eastAsia="zh-CN"/>
        </w:rPr>
        <w:t>………</w:t>
      </w:r>
      <w:r>
        <w:rPr>
          <w:rFonts w:hint="default" w:ascii="Times New Roman" w:hAnsi="Times New Roman" w:eastAsia="仿宋_GB2312" w:cs="Times New Roman"/>
          <w:sz w:val="28"/>
          <w:szCs w:val="36"/>
          <w:lang w:val="en-US" w:eastAsia="zh-CN"/>
        </w:rPr>
        <w:t>2</w:t>
      </w:r>
      <w:r>
        <w:rPr>
          <w:rFonts w:hint="eastAsia" w:ascii="Times New Roman" w:hAnsi="Times New Roman" w:eastAsia="仿宋_GB2312" w:cs="Times New Roman"/>
          <w:sz w:val="28"/>
          <w:szCs w:val="36"/>
          <w:lang w:val="en-US" w:eastAsia="zh-CN"/>
        </w:rPr>
        <w:t>3</w:t>
      </w:r>
    </w:p>
    <w:p w14:paraId="2B5FFCC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黑体" w:cs="Times New Roman"/>
          <w:sz w:val="28"/>
          <w:szCs w:val="36"/>
          <w:lang w:val="en-US" w:eastAsia="zh-CN"/>
        </w:rPr>
      </w:pPr>
      <w:r>
        <w:rPr>
          <w:rFonts w:hint="default" w:ascii="Times New Roman" w:hAnsi="Times New Roman" w:eastAsia="黑体" w:cs="Times New Roman"/>
          <w:sz w:val="28"/>
          <w:szCs w:val="36"/>
          <w:lang w:val="en-US" w:eastAsia="zh-CN"/>
        </w:rPr>
        <w:t>第</w:t>
      </w:r>
      <w:r>
        <w:rPr>
          <w:rFonts w:hint="eastAsia" w:ascii="Times New Roman" w:hAnsi="Times New Roman" w:eastAsia="黑体" w:cs="Times New Roman"/>
          <w:sz w:val="28"/>
          <w:szCs w:val="36"/>
          <w:lang w:val="en-US" w:eastAsia="zh-CN"/>
        </w:rPr>
        <w:t>四</w:t>
      </w:r>
      <w:r>
        <w:rPr>
          <w:rFonts w:hint="default" w:ascii="Times New Roman" w:hAnsi="Times New Roman" w:eastAsia="黑体" w:cs="Times New Roman"/>
          <w:sz w:val="28"/>
          <w:szCs w:val="36"/>
          <w:lang w:val="en-US" w:eastAsia="zh-CN"/>
        </w:rPr>
        <w:t>部分  临床医学专业认证模拟知识问答</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26</w:t>
      </w:r>
    </w:p>
    <w:p w14:paraId="571CE64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微软雅黑" w:cs="Times New Roman"/>
          <w:sz w:val="28"/>
          <w:szCs w:val="36"/>
          <w:lang w:val="en-US" w:eastAsia="zh-CN"/>
        </w:rPr>
      </w:pPr>
      <w:r>
        <w:rPr>
          <w:rFonts w:hint="default" w:ascii="Times New Roman" w:hAnsi="Times New Roman" w:eastAsia="仿宋_GB2312" w:cs="Times New Roman"/>
          <w:sz w:val="28"/>
          <w:szCs w:val="36"/>
          <w:lang w:val="en-US" w:eastAsia="zh-CN"/>
        </w:rPr>
        <w:t>一、通用部分</w:t>
      </w:r>
      <w:r>
        <w:rPr>
          <w:rFonts w:hint="default" w:ascii="Times New Roman" w:hAnsi="Times New Roman" w:eastAsia="微软雅黑" w:cs="Times New Roman"/>
          <w:sz w:val="28"/>
          <w:szCs w:val="36"/>
          <w:lang w:val="en-US" w:eastAsia="zh-CN"/>
        </w:rPr>
        <w:t>……………………………………………………………2</w:t>
      </w:r>
      <w:r>
        <w:rPr>
          <w:rFonts w:hint="eastAsia" w:ascii="Times New Roman" w:hAnsi="Times New Roman" w:eastAsia="微软雅黑" w:cs="Times New Roman"/>
          <w:sz w:val="28"/>
          <w:szCs w:val="36"/>
          <w:lang w:val="en-US" w:eastAsia="zh-CN"/>
        </w:rPr>
        <w:t>6</w:t>
      </w:r>
    </w:p>
    <w:p w14:paraId="22A3321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二、教师部分……………………………………………………………2</w:t>
      </w:r>
      <w:r>
        <w:rPr>
          <w:rFonts w:hint="eastAsia" w:ascii="Times New Roman" w:hAnsi="Times New Roman" w:eastAsia="仿宋_GB2312" w:cs="Times New Roman"/>
          <w:sz w:val="28"/>
          <w:szCs w:val="36"/>
          <w:lang w:val="en-US" w:eastAsia="zh-CN"/>
        </w:rPr>
        <w:t>6</w:t>
      </w:r>
    </w:p>
    <w:p w14:paraId="5CC059D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三、学生部分……………………………………………………………2</w:t>
      </w:r>
      <w:r>
        <w:rPr>
          <w:rFonts w:hint="eastAsia" w:ascii="Times New Roman" w:hAnsi="Times New Roman" w:eastAsia="仿宋_GB2312" w:cs="Times New Roman"/>
          <w:sz w:val="28"/>
          <w:szCs w:val="36"/>
          <w:lang w:val="en-US" w:eastAsia="zh-CN"/>
        </w:rPr>
        <w:t>9</w:t>
      </w:r>
    </w:p>
    <w:p w14:paraId="3BDBE39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四、</w:t>
      </w:r>
      <w:r>
        <w:rPr>
          <w:rFonts w:hint="eastAsia" w:ascii="Times New Roman" w:hAnsi="Times New Roman" w:eastAsia="仿宋_GB2312" w:cs="Times New Roman"/>
          <w:sz w:val="28"/>
          <w:szCs w:val="36"/>
          <w:lang w:val="en-US" w:eastAsia="zh-CN"/>
        </w:rPr>
        <w:t>各职能部门部分</w:t>
      </w:r>
      <w:r>
        <w:rPr>
          <w:rFonts w:hint="default" w:ascii="Times New Roman" w:hAnsi="Times New Roman" w:eastAsia="仿宋_GB2312" w:cs="Times New Roman"/>
          <w:sz w:val="28"/>
          <w:szCs w:val="36"/>
          <w:lang w:val="en-US" w:eastAsia="zh-CN"/>
        </w:rPr>
        <w:t>……………………………………………………</w:t>
      </w:r>
      <w:r>
        <w:rPr>
          <w:rFonts w:hint="eastAsia" w:ascii="Times New Roman" w:hAnsi="Times New Roman" w:eastAsia="仿宋_GB2312" w:cs="Times New Roman"/>
          <w:sz w:val="28"/>
          <w:szCs w:val="36"/>
          <w:lang w:val="en-US" w:eastAsia="zh-CN"/>
        </w:rPr>
        <w:t>30</w:t>
      </w:r>
    </w:p>
    <w:p w14:paraId="15CCFA5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黑体" w:cs="Times New Roman"/>
          <w:sz w:val="28"/>
          <w:szCs w:val="36"/>
          <w:lang w:val="en-US" w:eastAsia="zh-CN"/>
        </w:rPr>
      </w:pPr>
      <w:r>
        <w:rPr>
          <w:rFonts w:hint="eastAsia" w:ascii="Times New Roman" w:hAnsi="Times New Roman" w:eastAsia="黑体" w:cs="Times New Roman"/>
          <w:sz w:val="28"/>
          <w:szCs w:val="36"/>
          <w:lang w:val="en-US" w:eastAsia="zh-CN"/>
        </w:rPr>
        <w:t xml:space="preserve">第五部分  </w:t>
      </w:r>
      <w:r>
        <w:rPr>
          <w:rFonts w:hint="default" w:ascii="Times New Roman" w:hAnsi="Times New Roman" w:eastAsia="黑体" w:cs="Times New Roman"/>
          <w:sz w:val="28"/>
          <w:szCs w:val="36"/>
          <w:lang w:val="en-US" w:eastAsia="zh-CN"/>
        </w:rPr>
        <w:t>中国本科医学教育标准—临床医学专业</w:t>
      </w:r>
      <w:r>
        <w:rPr>
          <w:rFonts w:hint="default" w:ascii="Times New Roman" w:hAnsi="Times New Roman" w:eastAsia="微软雅黑" w:cs="Times New Roman"/>
          <w:sz w:val="28"/>
          <w:szCs w:val="36"/>
          <w:lang w:val="en-US" w:eastAsia="zh-CN"/>
        </w:rPr>
        <w:t>………………</w:t>
      </w:r>
      <w:r>
        <w:rPr>
          <w:rFonts w:hint="eastAsia" w:ascii="Times New Roman" w:hAnsi="Times New Roman" w:eastAsia="微软雅黑" w:cs="Times New Roman"/>
          <w:sz w:val="28"/>
          <w:szCs w:val="36"/>
          <w:lang w:val="en-US" w:eastAsia="zh-CN"/>
        </w:rPr>
        <w:t>33</w:t>
      </w:r>
    </w:p>
    <w:p w14:paraId="4FAC67D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黑体" w:cs="Times New Roman"/>
          <w:sz w:val="28"/>
          <w:szCs w:val="36"/>
          <w:lang w:val="en-US" w:eastAsia="zh-CN"/>
        </w:rPr>
      </w:pPr>
    </w:p>
    <w:p w14:paraId="56A73825">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仿宋_GB2312" w:cs="Times New Roman"/>
          <w:sz w:val="28"/>
          <w:szCs w:val="36"/>
          <w:lang w:val="en-US" w:eastAsia="zh-CN"/>
        </w:rPr>
      </w:pPr>
    </w:p>
    <w:p w14:paraId="72A9517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28"/>
          <w:szCs w:val="36"/>
          <w:lang w:val="en-US" w:eastAsia="zh-CN"/>
        </w:rPr>
      </w:pPr>
    </w:p>
    <w:p w14:paraId="3D2EF092">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ab/>
      </w:r>
    </w:p>
    <w:p w14:paraId="77B8EE4F">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01C5FB77">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5B417961">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405DBC59">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51B06261">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7920CD62">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333EDBD2">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230F622B">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3A072BD4">
      <w:pPr>
        <w:numPr>
          <w:ilvl w:val="0"/>
          <w:numId w:val="0"/>
        </w:numPr>
        <w:spacing w:before="155" w:line="204" w:lineRule="auto"/>
        <w:jc w:val="both"/>
        <w:outlineLvl w:val="0"/>
        <w:rPr>
          <w:rFonts w:hint="eastAsia" w:ascii="方正小标宋简体" w:hAnsi="方正小标宋简体" w:eastAsia="方正小标宋简体" w:cs="方正小标宋简体"/>
          <w:spacing w:val="-1"/>
          <w:kern w:val="2"/>
          <w:sz w:val="36"/>
          <w:szCs w:val="36"/>
          <w:lang w:val="en-US" w:eastAsia="zh-CN" w:bidi="ar-SA"/>
        </w:rPr>
        <w:sectPr>
          <w:pgSz w:w="11906" w:h="16838"/>
          <w:pgMar w:top="1440" w:right="1800" w:bottom="1440" w:left="1800" w:header="851" w:footer="992" w:gutter="0"/>
          <w:cols w:space="425" w:num="1"/>
          <w:docGrid w:type="lines" w:linePitch="312" w:charSpace="0"/>
        </w:sectPr>
      </w:pPr>
    </w:p>
    <w:p w14:paraId="21ECB4CD">
      <w:pPr>
        <w:numPr>
          <w:ilvl w:val="0"/>
          <w:numId w:val="0"/>
        </w:numPr>
        <w:spacing w:before="155" w:line="204" w:lineRule="auto"/>
        <w:jc w:val="center"/>
        <w:outlineLvl w:val="0"/>
        <w:rPr>
          <w:rFonts w:hint="eastAsia" w:ascii="方正小标宋简体" w:hAnsi="方正小标宋简体" w:eastAsia="方正小标宋简体" w:cs="方正小标宋简体"/>
          <w:spacing w:val="-1"/>
          <w:sz w:val="36"/>
          <w:szCs w:val="36"/>
        </w:rPr>
      </w:pPr>
      <w:r>
        <w:rPr>
          <w:rFonts w:hint="eastAsia" w:ascii="方正小标宋简体" w:hAnsi="方正小标宋简体" w:eastAsia="方正小标宋简体" w:cs="方正小标宋简体"/>
          <w:spacing w:val="-1"/>
          <w:kern w:val="2"/>
          <w:sz w:val="36"/>
          <w:szCs w:val="36"/>
          <w:lang w:val="en-US" w:eastAsia="zh-CN" w:bidi="ar-SA"/>
        </w:rPr>
        <w:t>第一部分</w:t>
      </w:r>
      <w:r>
        <w:rPr>
          <w:rFonts w:hint="eastAsia" w:ascii="方正小标宋简体" w:hAnsi="方正小标宋简体" w:eastAsia="方正小标宋简体" w:cs="方正小标宋简体"/>
          <w:spacing w:val="-1"/>
          <w:sz w:val="36"/>
          <w:szCs w:val="36"/>
        </w:rPr>
        <w:t xml:space="preserve">   学校基本情况</w:t>
      </w:r>
    </w:p>
    <w:p w14:paraId="78CAA31E">
      <w:pPr>
        <w:spacing w:before="78" w:line="220" w:lineRule="auto"/>
        <w:ind w:left="4"/>
        <w:outlineLvl w:val="1"/>
        <w:rPr>
          <w:rFonts w:hint="eastAsia" w:ascii="黑体" w:hAnsi="黑体" w:eastAsia="黑体" w:cs="黑体"/>
          <w:b w:val="0"/>
          <w:bCs w:val="0"/>
          <w:spacing w:val="-4"/>
          <w:sz w:val="24"/>
          <w:szCs w:val="24"/>
        </w:rPr>
      </w:pPr>
    </w:p>
    <w:p w14:paraId="1BE2655F">
      <w:pPr>
        <w:spacing w:before="78" w:line="360" w:lineRule="auto"/>
        <w:ind w:left="4" w:firstLine="544" w:firstLineChars="200"/>
        <w:outlineLvl w:val="1"/>
        <w:rPr>
          <w:rFonts w:hint="default" w:ascii="黑体" w:hAnsi="黑体" w:eastAsia="黑体" w:cs="黑体"/>
          <w:b w:val="0"/>
          <w:bCs w:val="0"/>
          <w:sz w:val="28"/>
          <w:szCs w:val="28"/>
          <w:lang w:val="en-US" w:eastAsia="zh-CN"/>
        </w:rPr>
      </w:pPr>
      <w:r>
        <w:rPr>
          <w:rFonts w:hint="eastAsia" w:ascii="黑体" w:hAnsi="黑体" w:eastAsia="黑体" w:cs="黑体"/>
          <w:b w:val="0"/>
          <w:bCs w:val="0"/>
          <w:spacing w:val="-4"/>
          <w:sz w:val="28"/>
          <w:szCs w:val="28"/>
        </w:rPr>
        <w:t>一、</w:t>
      </w:r>
      <w:r>
        <w:rPr>
          <w:rFonts w:hint="eastAsia" w:ascii="黑体" w:hAnsi="黑体" w:eastAsia="黑体" w:cs="黑体"/>
          <w:b w:val="0"/>
          <w:bCs w:val="0"/>
          <w:spacing w:val="-4"/>
          <w:sz w:val="28"/>
          <w:szCs w:val="28"/>
          <w:lang w:val="en-US" w:eastAsia="zh-CN"/>
        </w:rPr>
        <w:t>学校简介</w:t>
      </w:r>
    </w:p>
    <w:p w14:paraId="464564F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豫北医学院（North Henan Medical University）是经教育部批准成立的普通本科高校，其前身是成立于2003年的新乡医学院三全学院，2025年2月转设为豫北医学院。学校建有新乡、平原两个校区，分别位于新乡市红旗区和平原示范区。两校区共占地2000余亩，现有全日制在校生23000余人，教职工1400余人。学校设有基础医学院、临床学院等16个专业院（部），仁智、羲和等7个住宿制书院，党委办公室、党委组织部等17个职能部门。学校现有全日制本科（含专升本）、专科2个办学层次，27个本科专业，涵盖医学、管理学、理学、工学、文学等5个学科门类，先后培养出7.5万余名优秀医学人才。</w:t>
      </w:r>
    </w:p>
    <w:p w14:paraId="274BD6DF">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学科专业建设持续加强</w:t>
      </w:r>
    </w:p>
    <w:p w14:paraId="09CD9FB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校着眼国家和区域产业发展需求，孵化新兴交叉学科，培育“医学+X”学科专业，注重“医工、医文、医理、医管”有机融合，强化跨学科融合发展的新医科建设理念，构建新医科人才培养体系。加快医学教育由“以治疗为中心”向“以健康为中心”的转变，设置了以现代医疗服务为核心，现代医疗装备与技术、生物医药、养老与康复、现代健康与医疗管理协同发展的覆盖生命全周期的5大学科专业集群。深化医教协同发展，坚持“早临床、多临床、反复临床”，融合“理论学习、临床见习、毕业实习”培养环节，实施“上午病房、下午课堂”临床医学全过程教学，开展“分段式”理论+实践的训练与考核，全面提升学生的岗位胜任能力。积极推进数智化转型发展、特色发展，利用大数据、人工智能、虚拟现实技术赋能医学教育改革创新，搭建医工协同创新实践平台，成立智能医学研究院，建成数字化解剖、口腔、康复、助产学虚拟仿真等智慧化实验实训平台和数字化康复辅助器具市级工程技术研究中心、市级重点智能医学虚拟实验室。</w:t>
      </w:r>
    </w:p>
    <w:p w14:paraId="3003830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校是河南省“硕士学位授予重点立项培育单位”、国家自然科学基金依托单位，共有国家级重点专科1个，省级重点学科7个，省一流本科专业建设点3个，国家特设专业8个，口腔医学技术、眼视光学等4个河南省唯一设置本科专业；省级教学、科研平台5个、生产性教学工场2个、实训中心8个。学校拥有附属医院5所，其中，附属南阳南石医院为三级甲等医院，是国家脑卒中筛查与防治基地，国家级胸痛中心，助理全科医师规范化培训基地。</w:t>
      </w:r>
    </w:p>
    <w:p w14:paraId="083120DA">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双院协同育人纵深推进</w:t>
      </w:r>
    </w:p>
    <w:p w14:paraId="367FA59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校落实立德树人根本任务，积极探索大学生思想政治教育新途径，构建“书院+学院”同向同行、相互融合的书院制育人新模式，以学生的成长与发展为中心，平行设置日新、智行、仁智、羲和、精诚、崇德、德馨7所书院。通过建设六位一体“一站式”学生社区，构建五育并举通识教育课程体系，打造集思政教育、师生交流、文化熏陶、生活服务四位一体书院社区，促进学生德智体美劳全面发展。</w:t>
      </w:r>
    </w:p>
    <w:p w14:paraId="2CB4EF2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生工作成绩斐然。学校被河南省委高校工委确定为书院制改革试点高校，先后加入中国大学通识教育联盟、全国高校书院联盟；2所书院入选河南省书院制育人模式改革“示范书院”。学校书院制改革成果荣获河南省高等教育教学成果二等奖，河南省学生工作品牌一等奖2项、二等奖1项、三等奖3项。学校荣获全国高校示范“一站式”学生社区、“河南省高校心理健康教育工作标准化建设A类高校”、“河南省国防教育模范高校”，河南省高校学生资助工作绩效评价获评“优秀”。河南省就业工作典型经验评选中，学校“校级、院系、指导教师、毕业生”四项典型同时入选，连续两年武书连中国民办大学独立学院排名显示：学校就业质量、升学率评价等级均为A+。</w:t>
      </w:r>
    </w:p>
    <w:p w14:paraId="4455E87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优秀学子大量涌现。学生郝莺歌荣获“全国向上向善好青年”，袁志成荣获“全国高校毕业生基层就业卓越奖学（教）金”，李君入选教育部第五届“闪亮的日子—青春该有的模样”大学生就业创业典型人物，申欣、张夏月、万晓雯等荣获“中国大学生自强之星”，郝莺歌、王金墙、申欣三人荣获“河南青年五四奖章”，侯英泽荣获省大学生“创新之星”。</w:t>
      </w:r>
    </w:p>
    <w:p w14:paraId="7C56C9F1">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产教融合、科教融汇同频共振</w:t>
      </w:r>
    </w:p>
    <w:p w14:paraId="7B1DA4D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校紧扣产教融合发展脉搏，与百余家行业龙头企业达成深度战略合作。精准对接产业需求，以区域产业发展急需为牵引，联合政企行组建5个产（行）业学院，其中口腔智能制造现代产业学院和生物医药行业学院获批河南省重点现代产业学院和特色行业学院建设单位，为区域经济发展培养了大批高素质应用型人才。学校牵头联合登封市人民医院等单位，成立河南基层卫生人才医教协同发展联盟，构建基层医疗卫生事业发展共同体；同时，学校当选全国医学检验、数字化口腔医学（技术）产教融合共同体副理事长单位。学校获批全国产教融合典型案例，入选教育部数据中国“百校工程”建设院校，获批教育部产学合作协同育人项目28项、河南省教育综合改革重点项目2项，荣获河南省校区合作奖励100万 。</w:t>
      </w:r>
    </w:p>
    <w:p w14:paraId="06D86F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    2019年，学校获批为“2019-2021年硕士学位授予立项建设单位”，是河南省第一家具备该项资质的独立学院；2021年，学校获批为“硕士学位授予重点立项培育单位”。学校是国家自然科学基金依托单位，建成1个省级工程研究中心、1个省级工程技术研究中心，6个市级重点实验室、12个市级工程技术研究中心。近年来承担省部级以上科研项目60余项，发表SCI、SSCI等论文200余篇，出版著作及教材110余部，先后获得河南省科学技术进步奖2项、教学成果奖4项。</w:t>
      </w:r>
    </w:p>
    <w:p w14:paraId="372EAE07">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对外开放、继续教育全面深化</w:t>
      </w:r>
    </w:p>
    <w:p w14:paraId="5AB6009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校加大对外开放力度，坚持国际化发展战略。先后与美国、英国、意大利等12个国家和地区的25所高校或科研机构建立友好合作关系。2015年，学校获聘请外国专家单位资格认可证书，先后聘请16名外专外教来校工作；2017年，获批招收来华留学生资质，是全国独立学院中，第一家具备该项资质的高校；2018年，加入世界医学院校名录；2020年，加入联合国教科文组织的世界高等教育数据库；2021年，通过外国医学毕业生教育委员会（ECFMG）认证；2024年，加入“一带一路”国际医学教育合作平台。学校先后获批2个专科层次中外合作办学项目，先后培养了来自印度尼西亚、坦桑尼亚等20个国家的190余名留学生，现有51名优秀毕业生。</w:t>
      </w:r>
    </w:p>
    <w:p w14:paraId="47FCA99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校2018年获批举办高等学历继续教育资质。目前开设临床医学、医学影像学等10个本科专业及护理1个专科专业，现有高等学历继续教育在校生16578人。2023年11月顺利通过河南省教育厅高等学历继续教育教学评估，办学6年来先后培养了12145名优秀毕业生。目前已完成70余门线上资源课程建设，在建20门。其中4门课程入选河南省继续教育精品在线开放课程立项建设名单，3门课程被评选为河南省继续教育课程思政示范项目。</w:t>
      </w:r>
    </w:p>
    <w:p w14:paraId="536E9C1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院积极响应河南省“人人持证、技能河南”建设号召，大力拓展职业技能培训平台。目前，已成功获批河南省老年大学、河南省养老服务人才培训基地、美国心脏协会心血管急救培训中心、院校类职业技能等级认定中心、社会培训评价组织及专项职业能力考核机构等三十余项培训与认定资质。学院积极推动校地融合，与新乡市平原示范区共建“医学特色社区教育学院”，面向社会广泛开展青少年心理健康培训、急救知识技能普及、“医教协同”云讲坛等系列培训项目。其中，“医教协同”云讲坛荣获2024年河南省终身学习品牌项目推介。</w:t>
      </w:r>
    </w:p>
    <w:p w14:paraId="667636F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作为区域重要的考试承办单位，学院积极承担新乡市卫生专业技术资格考试、全国计算机等级考试等重要考务工作。同时，紧密对接行业需求，与河南省卫生健康委员会共同举办了全科医生转岗培训、规范化培训评估专家培训、住院医师规范化培训考核考官培训等多项专业培训项目，为提升区域卫生健康人才队伍能力贡献力量。</w:t>
      </w:r>
    </w:p>
    <w:p w14:paraId="468F3146">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人才队伍建设优化完善</w:t>
      </w:r>
    </w:p>
    <w:p w14:paraId="0E2D9D4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实施“人才强校”战略，落地人才“引育用留”四大工程，持续优化师资新结构。学校秉承“统筹规划、分类设计、分步实施、规范管理、注重实效”的工作思路，聚焦师资队伍内涵式发展，以强化教师思想政治素质和师德师风建设为首要责任，以提高教师专业素质能力为核心任务，遵循教育规律和教师成长发展规律，加强顶层设计，针对不同类别、不同阶段教师的发展需求，以新入职教师岗前培训、青年教师系统化培养、优秀青年教师培养计划、骨干教师培养计划、学术技术带头人培养计划、专业技术人员挂职锻炼等人才培养项目为依托，强化培训目标，创新培训方式，优化培训内容，完善培训考评机制，构建金字塔型教师培养体系，建设一支政治素质过硬、业务能力精湛、育人水平高超的高素质专业化创新型教师队伍，为学校发展提供坚强的师资保障。</w:t>
      </w:r>
    </w:p>
    <w:p w14:paraId="2E8D772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校拥有国家级教学名师、全国模范教师、全国优秀科技工作者、全国卫生系统先进个人、国务院政府特殊津贴享受者等7人次；河南省卫生科技领军人才、教学名师、模范教师、优秀专家、杰出专业技术人才、学术技术带头人、重点学科负责人等25人次；河南省教育系统优秀教师、教育厅学术技术带头人、教育厅本科高校青年骨干教师等38人次。</w:t>
      </w:r>
    </w:p>
    <w:p w14:paraId="64C9DBA1">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数字化校园建设、现代教育技术发展有序推进</w:t>
      </w:r>
    </w:p>
    <w:p w14:paraId="7589E1D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构建完备的教育教学数字化体系，革新优化教学环境，搭建智慧教学、管理与服务平台，实施数字教育资源开发与共享，提升师生数字化素养，强化教育数据监控与治理，驱动信息技术与教育教学深度融合，助力形成智慧教学生态。学校为首批教育部在线教育研究中心教育数字化合作伙伴，获得全国教育教学信息化大赛多项大奖，连续三年获得教育信息化大赛优秀组织奖，荣获全省教育数字化工作先进集体、河南省精品在线开放课程立项、河南省一流本科课程、河南省教育信息化成果奖、河南省教育数字化创新应用大赛多项大奖、河南省教育数字化转型优秀案例、获评教育部在线教育研究中心“拓金计划”示范课程。</w:t>
      </w:r>
    </w:p>
    <w:p w14:paraId="2886D35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实施“文化润校”战略，打造卓越育人环境提升工程，着力构建“以学生为中心”的文化育人支持系统，营造体现人文关怀、崇尚科学精神、凸显医学特色、融合多元文化的校园氛围。学校建有完备的现代电子图书系统和计算机网络服务体系馆藏纸质图书154.7万册，电子图书77.19万册，中外文数据库10个，收录中外文电子期刊6.6万余种。</w:t>
      </w:r>
    </w:p>
    <w:p w14:paraId="5857BD8F">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社会美誉度、影响力稳步提升</w:t>
      </w:r>
    </w:p>
    <w:p w14:paraId="744E7FC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办学二十二年来，学校先后荣获“全国素质教育示范院校”“全国先进独立学院”“全国民办教育先进单位”“全国独立学院综合实力50强”“河南省优秀民办学校”“河南省高等学校先进基层党组织”“河南省文明学校”“河南省普通高校毕业生就业工作评估优秀单位”“河南省普通大中专毕业生就业工作先进集体”等荣誉称号。学校办学成果在中央电视台“新闻联播”、《人民日报》《中国教育报》等权威媒体进行专题报道。武书连2024中国民办大学独立学院排名公布，学校位居全国145所独立学院综合实力排行榜第六名、全国医药类独立学院排行榜第一名，就业质量、新生质量、升学率，评价等级均为A等A级。</w:t>
      </w:r>
    </w:p>
    <w:p w14:paraId="0B5F9C7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潮平两岸阔，风正一帆悬。学校将以新时代中国特色社会主义思想为指导，以立德树人为根本任务，按照习近平总书记“扎根中国大地办大学”的要求，强化党建引领，坚持依法治校，秉承“全面适应社会需求，全面实施素质教育，全面培育医学英才”的办学理念，立足“地方性、高水平、有特色、应用型的高等医学院校”的办学定位，以健康中国和健康中原战略为引领，以服务区域经济社会发展、医疗卫生事业和健康产业发展为宗旨，以“建设一流育人环境、实施一流医学教育、争创一流民办大学、培养一流应用人才”为目标，深入实施“质量立校”“人才强校”“融合兴校”“改革活校”“文化润校”五大战略，把学校建成“国内一流、区域领跑”的地方性、高水平、有特色、应用型的高等医学院校。</w:t>
      </w:r>
    </w:p>
    <w:p w14:paraId="02F735DD">
      <w:pPr>
        <w:numPr>
          <w:ilvl w:val="0"/>
          <w:numId w:val="0"/>
        </w:numPr>
        <w:spacing w:before="78" w:line="360" w:lineRule="auto"/>
        <w:ind w:left="4" w:leftChars="0" w:firstLine="544" w:firstLineChars="200"/>
        <w:outlineLvl w:val="1"/>
        <w:rPr>
          <w:rFonts w:hint="eastAsia" w:ascii="黑体" w:hAnsi="黑体" w:eastAsia="黑体" w:cs="黑体"/>
          <w:b w:val="0"/>
          <w:bCs w:val="0"/>
          <w:spacing w:val="-4"/>
          <w:sz w:val="28"/>
          <w:szCs w:val="28"/>
          <w:lang w:val="en-US" w:eastAsia="zh-CN"/>
        </w:rPr>
      </w:pPr>
      <w:r>
        <w:rPr>
          <w:rFonts w:hint="eastAsia" w:ascii="黑体" w:hAnsi="黑体" w:eastAsia="黑体" w:cs="黑体"/>
          <w:b w:val="0"/>
          <w:bCs w:val="0"/>
          <w:spacing w:val="-4"/>
          <w:kern w:val="2"/>
          <w:sz w:val="28"/>
          <w:szCs w:val="28"/>
          <w:lang w:val="en-US" w:eastAsia="zh-CN" w:bidi="ar-SA"/>
        </w:rPr>
        <w:t>二、</w:t>
      </w:r>
      <w:r>
        <w:rPr>
          <w:rFonts w:hint="eastAsia" w:ascii="黑体" w:hAnsi="黑体" w:eastAsia="黑体" w:cs="黑体"/>
          <w:b w:val="0"/>
          <w:bCs w:val="0"/>
          <w:spacing w:val="-4"/>
          <w:sz w:val="28"/>
          <w:szCs w:val="28"/>
          <w:lang w:val="en-US" w:eastAsia="zh-CN"/>
        </w:rPr>
        <w:t>办学指导思想与定位</w:t>
      </w:r>
    </w:p>
    <w:p w14:paraId="148D007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以习近平新时代中国特色社会主义思想为指导，全面贯彻党的教育方针，落实立德树人根本任务。坚持以健康中国和健康中原战略为引领，立足“地方性、高水平、有特色、应用型的高等医学院校”的办学定位，秉承“全面适应社会需求，全面实施素质教育，全面培育医学英才”的办学理念，以服务区域经济社会发展、医疗卫生事业和健康产业发展为宗旨，深入实施“质量立校”“人才强校”“融合兴校”“ 改革活校”“文化润校”五大战略，全面提升人才培养质量和办学实力。</w:t>
      </w:r>
    </w:p>
    <w:p w14:paraId="0AAB8564">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b/>
          <w:bCs/>
          <w:sz w:val="28"/>
          <w:szCs w:val="36"/>
          <w:lang w:val="en-US" w:eastAsia="zh-CN"/>
        </w:rPr>
        <w:t>1.</w:t>
      </w:r>
      <w:r>
        <w:rPr>
          <w:rFonts w:hint="default" w:ascii="Times New Roman" w:hAnsi="Times New Roman" w:eastAsia="仿宋_GB2312" w:cs="Times New Roman"/>
          <w:b/>
          <w:bCs/>
          <w:sz w:val="28"/>
          <w:szCs w:val="36"/>
          <w:lang w:val="en-US" w:eastAsia="zh-CN"/>
        </w:rPr>
        <w:t>发展目标定位：</w:t>
      </w:r>
      <w:r>
        <w:rPr>
          <w:rFonts w:hint="default" w:ascii="Times New Roman" w:hAnsi="Times New Roman" w:eastAsia="仿宋_GB2312" w:cs="Times New Roman"/>
          <w:sz w:val="28"/>
          <w:szCs w:val="36"/>
          <w:lang w:val="en-US" w:eastAsia="zh-CN"/>
        </w:rPr>
        <w:t>地方性、高水平、有特色、应用型的高等医学院校。</w:t>
      </w:r>
    </w:p>
    <w:p w14:paraId="78F83A4E">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b/>
          <w:bCs/>
          <w:sz w:val="28"/>
          <w:szCs w:val="36"/>
          <w:lang w:val="en-US" w:eastAsia="zh-CN"/>
        </w:rPr>
        <w:t>2.</w:t>
      </w:r>
      <w:r>
        <w:rPr>
          <w:rFonts w:hint="default" w:ascii="Times New Roman" w:hAnsi="Times New Roman" w:eastAsia="仿宋_GB2312" w:cs="Times New Roman"/>
          <w:b/>
          <w:bCs/>
          <w:sz w:val="28"/>
          <w:szCs w:val="36"/>
          <w:lang w:val="en-US" w:eastAsia="zh-CN"/>
        </w:rPr>
        <w:t>办学层次定位：</w:t>
      </w:r>
      <w:r>
        <w:rPr>
          <w:rFonts w:hint="default" w:ascii="Times New Roman" w:hAnsi="Times New Roman" w:eastAsia="仿宋_GB2312" w:cs="Times New Roman"/>
          <w:sz w:val="28"/>
          <w:szCs w:val="36"/>
          <w:lang w:val="en-US" w:eastAsia="zh-CN"/>
        </w:rPr>
        <w:t>以本科教育为主，适量保持专科教育，积极开展研究生教育。</w:t>
      </w:r>
    </w:p>
    <w:p w14:paraId="25C5C4ED">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b/>
          <w:bCs/>
          <w:sz w:val="28"/>
          <w:szCs w:val="36"/>
          <w:lang w:val="en-US" w:eastAsia="zh-CN"/>
        </w:rPr>
        <w:t>3.</w:t>
      </w:r>
      <w:r>
        <w:rPr>
          <w:rFonts w:hint="default" w:ascii="Times New Roman" w:hAnsi="Times New Roman" w:eastAsia="仿宋_GB2312" w:cs="Times New Roman"/>
          <w:b/>
          <w:bCs/>
          <w:sz w:val="28"/>
          <w:szCs w:val="36"/>
          <w:lang w:val="en-US" w:eastAsia="zh-CN"/>
        </w:rPr>
        <w:t>学科专业定位：</w:t>
      </w:r>
      <w:r>
        <w:rPr>
          <w:rFonts w:hint="default" w:ascii="Times New Roman" w:hAnsi="Times New Roman" w:eastAsia="仿宋_GB2312" w:cs="Times New Roman"/>
          <w:sz w:val="28"/>
          <w:szCs w:val="36"/>
          <w:lang w:val="en-US" w:eastAsia="zh-CN"/>
        </w:rPr>
        <w:t>以医学为核心，打造“ 医工、医理、医管、医文”多学科融合发展的学科专业体系。</w:t>
      </w:r>
    </w:p>
    <w:p w14:paraId="081E19E2">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b/>
          <w:bCs/>
          <w:sz w:val="28"/>
          <w:szCs w:val="36"/>
          <w:lang w:val="en-US" w:eastAsia="zh-CN"/>
        </w:rPr>
        <w:t>4.</w:t>
      </w:r>
      <w:r>
        <w:rPr>
          <w:rFonts w:hint="default" w:ascii="Times New Roman" w:hAnsi="Times New Roman" w:eastAsia="仿宋_GB2312" w:cs="Times New Roman"/>
          <w:b/>
          <w:bCs/>
          <w:sz w:val="28"/>
          <w:szCs w:val="36"/>
          <w:lang w:val="en-US" w:eastAsia="zh-CN"/>
        </w:rPr>
        <w:t>人才培养定位</w:t>
      </w:r>
      <w:r>
        <w:rPr>
          <w:rFonts w:hint="default" w:ascii="Times New Roman" w:hAnsi="Times New Roman" w:eastAsia="仿宋_GB2312" w:cs="Times New Roman"/>
          <w:sz w:val="28"/>
          <w:szCs w:val="36"/>
          <w:lang w:val="en-US" w:eastAsia="zh-CN"/>
        </w:rPr>
        <w:t>：培养专业基础扎实、实践能力突出、综合素质高，富有家国情怀、人文情怀、科学素养、创新精神，德智体美劳全面发展的高素质医疗卫生人才。</w:t>
      </w:r>
    </w:p>
    <w:p w14:paraId="6B91B5E8">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b/>
          <w:bCs/>
          <w:sz w:val="28"/>
          <w:szCs w:val="36"/>
          <w:lang w:val="en-US" w:eastAsia="zh-CN"/>
        </w:rPr>
        <w:t>5.</w:t>
      </w:r>
      <w:r>
        <w:rPr>
          <w:rFonts w:hint="default" w:ascii="Times New Roman" w:hAnsi="Times New Roman" w:eastAsia="仿宋_GB2312" w:cs="Times New Roman"/>
          <w:b/>
          <w:bCs/>
          <w:sz w:val="28"/>
          <w:szCs w:val="36"/>
          <w:lang w:val="en-US" w:eastAsia="zh-CN"/>
        </w:rPr>
        <w:t>服务面向定位：</w:t>
      </w:r>
      <w:r>
        <w:rPr>
          <w:rFonts w:hint="default" w:ascii="Times New Roman" w:hAnsi="Times New Roman" w:eastAsia="仿宋_GB2312" w:cs="Times New Roman"/>
          <w:sz w:val="28"/>
          <w:szCs w:val="36"/>
          <w:lang w:val="en-US" w:eastAsia="zh-CN"/>
        </w:rPr>
        <w:t>扎根豫北，面向河南，辐射全国，服务医疗卫生事业和大健康产业发展。</w:t>
      </w:r>
    </w:p>
    <w:p w14:paraId="0E763912">
      <w:pPr>
        <w:numPr>
          <w:ilvl w:val="0"/>
          <w:numId w:val="0"/>
        </w:numPr>
        <w:spacing w:before="78" w:line="360" w:lineRule="auto"/>
        <w:ind w:left="4" w:leftChars="0" w:firstLine="544" w:firstLineChars="200"/>
        <w:outlineLvl w:val="1"/>
        <w:rPr>
          <w:rFonts w:hint="eastAsia" w:ascii="黑体" w:hAnsi="黑体" w:eastAsia="黑体" w:cs="黑体"/>
          <w:b w:val="0"/>
          <w:bCs w:val="0"/>
          <w:spacing w:val="-4"/>
          <w:sz w:val="28"/>
          <w:szCs w:val="28"/>
          <w:lang w:val="en-US" w:eastAsia="zh-CN"/>
        </w:rPr>
      </w:pPr>
      <w:r>
        <w:rPr>
          <w:rFonts w:hint="eastAsia" w:ascii="黑体" w:hAnsi="黑体" w:eastAsia="黑体" w:cs="黑体"/>
          <w:b w:val="0"/>
          <w:bCs w:val="0"/>
          <w:spacing w:val="-4"/>
          <w:sz w:val="28"/>
          <w:szCs w:val="28"/>
          <w:lang w:val="en-US" w:eastAsia="zh-CN"/>
        </w:rPr>
        <w:t>三、学校现任领导班子</w:t>
      </w:r>
    </w:p>
    <w:tbl>
      <w:tblPr>
        <w:tblStyle w:val="9"/>
        <w:tblW w:w="66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61"/>
        <w:gridCol w:w="2955"/>
      </w:tblGrid>
      <w:tr w14:paraId="19BE1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3661" w:type="dxa"/>
            <w:vAlign w:val="top"/>
          </w:tcPr>
          <w:p w14:paraId="4F4623E1">
            <w:pPr>
              <w:pStyle w:val="8"/>
              <w:spacing w:before="146" w:line="228" w:lineRule="auto"/>
              <w:ind w:left="1262"/>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职务</w:t>
            </w:r>
          </w:p>
        </w:tc>
        <w:tc>
          <w:tcPr>
            <w:tcW w:w="2955" w:type="dxa"/>
            <w:vAlign w:val="top"/>
          </w:tcPr>
          <w:p w14:paraId="3FCA74DE">
            <w:pPr>
              <w:pStyle w:val="8"/>
              <w:spacing w:before="146" w:line="228" w:lineRule="auto"/>
              <w:ind w:left="126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姓名</w:t>
            </w:r>
          </w:p>
        </w:tc>
      </w:tr>
      <w:tr w14:paraId="1F5FD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661" w:type="dxa"/>
            <w:vAlign w:val="top"/>
          </w:tcPr>
          <w:p w14:paraId="7C22DC96">
            <w:pPr>
              <w:pStyle w:val="8"/>
              <w:spacing w:before="140" w:line="227" w:lineRule="auto"/>
              <w:ind w:left="1053"/>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党委书记</w:t>
            </w:r>
          </w:p>
        </w:tc>
        <w:tc>
          <w:tcPr>
            <w:tcW w:w="2955" w:type="dxa"/>
            <w:vAlign w:val="top"/>
          </w:tcPr>
          <w:p w14:paraId="7160C2BE">
            <w:pPr>
              <w:pStyle w:val="8"/>
              <w:spacing w:before="140" w:line="228" w:lineRule="auto"/>
              <w:ind w:left="1156"/>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6"/>
                <w:sz w:val="28"/>
                <w:szCs w:val="28"/>
              </w:rPr>
              <w:t>李</w:t>
            </w:r>
            <w:r>
              <w:rPr>
                <w:rFonts w:hint="eastAsia" w:ascii="仿宋_GB2312" w:hAnsi="仿宋_GB2312" w:eastAsia="仿宋_GB2312" w:cs="仿宋_GB2312"/>
                <w:spacing w:val="6"/>
                <w:sz w:val="28"/>
                <w:szCs w:val="28"/>
                <w:lang w:val="en-US" w:eastAsia="zh-CN"/>
              </w:rPr>
              <w:t>庚</w:t>
            </w:r>
          </w:p>
        </w:tc>
      </w:tr>
      <w:tr w14:paraId="50660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3661" w:type="dxa"/>
            <w:vAlign w:val="top"/>
          </w:tcPr>
          <w:p w14:paraId="0ED94D47">
            <w:pPr>
              <w:pStyle w:val="8"/>
              <w:spacing w:before="140" w:line="227" w:lineRule="auto"/>
              <w:ind w:left="633"/>
              <w:rPr>
                <w:rFonts w:hint="eastAsia" w:ascii="仿宋_GB2312" w:hAnsi="仿宋_GB2312" w:eastAsia="仿宋_GB2312" w:cs="仿宋_GB2312"/>
                <w:sz w:val="28"/>
                <w:szCs w:val="28"/>
              </w:rPr>
            </w:pPr>
            <w:r>
              <w:rPr>
                <w:rFonts w:hint="eastAsia" w:ascii="仿宋_GB2312" w:hAnsi="仿宋_GB2312" w:eastAsia="仿宋_GB2312" w:cs="仿宋_GB2312"/>
                <w:spacing w:val="8"/>
                <w:sz w:val="28"/>
                <w:szCs w:val="28"/>
                <w:lang w:val="en-US" w:eastAsia="zh-CN"/>
              </w:rPr>
              <w:t>院长、</w:t>
            </w:r>
            <w:r>
              <w:rPr>
                <w:rFonts w:hint="eastAsia" w:ascii="仿宋_GB2312" w:hAnsi="仿宋_GB2312" w:eastAsia="仿宋_GB2312" w:cs="仿宋_GB2312"/>
                <w:spacing w:val="8"/>
                <w:sz w:val="28"/>
                <w:szCs w:val="28"/>
              </w:rPr>
              <w:t>党委副书记</w:t>
            </w:r>
          </w:p>
        </w:tc>
        <w:tc>
          <w:tcPr>
            <w:tcW w:w="2955" w:type="dxa"/>
            <w:vAlign w:val="top"/>
          </w:tcPr>
          <w:p w14:paraId="76C40CEE">
            <w:pPr>
              <w:pStyle w:val="8"/>
              <w:spacing w:before="141" w:line="228" w:lineRule="auto"/>
              <w:ind w:left="1156"/>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李琼</w:t>
            </w:r>
          </w:p>
        </w:tc>
      </w:tr>
      <w:tr w14:paraId="0BC5F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3661" w:type="dxa"/>
            <w:vAlign w:val="top"/>
          </w:tcPr>
          <w:p w14:paraId="5421B7C1">
            <w:pPr>
              <w:pStyle w:val="8"/>
              <w:spacing w:before="142" w:line="227" w:lineRule="auto"/>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常务副院长</w:t>
            </w:r>
          </w:p>
        </w:tc>
        <w:tc>
          <w:tcPr>
            <w:tcW w:w="2955" w:type="dxa"/>
            <w:vAlign w:val="top"/>
          </w:tcPr>
          <w:p w14:paraId="2752DF1F">
            <w:pPr>
              <w:pStyle w:val="8"/>
              <w:spacing w:before="142" w:line="229" w:lineRule="auto"/>
              <w:ind w:left="115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秦国亮</w:t>
            </w:r>
          </w:p>
        </w:tc>
      </w:tr>
      <w:tr w14:paraId="3AAF3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3661" w:type="dxa"/>
            <w:vAlign w:val="top"/>
          </w:tcPr>
          <w:p w14:paraId="06AAF6C9">
            <w:pPr>
              <w:pStyle w:val="8"/>
              <w:spacing w:before="143" w:line="227"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党委副书记</w:t>
            </w:r>
          </w:p>
        </w:tc>
        <w:tc>
          <w:tcPr>
            <w:tcW w:w="2955" w:type="dxa"/>
            <w:vAlign w:val="top"/>
          </w:tcPr>
          <w:p w14:paraId="30AC9EB1">
            <w:pPr>
              <w:pStyle w:val="8"/>
              <w:spacing w:before="143" w:line="228" w:lineRule="auto"/>
              <w:ind w:left="1155"/>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杨国平</w:t>
            </w:r>
          </w:p>
        </w:tc>
      </w:tr>
      <w:tr w14:paraId="68DA2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3661" w:type="dxa"/>
            <w:vAlign w:val="top"/>
          </w:tcPr>
          <w:p w14:paraId="39365FC6">
            <w:pPr>
              <w:pStyle w:val="8"/>
              <w:spacing w:before="144" w:line="228" w:lineRule="auto"/>
              <w:ind w:left="1162"/>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副校长</w:t>
            </w:r>
          </w:p>
        </w:tc>
        <w:tc>
          <w:tcPr>
            <w:tcW w:w="2955" w:type="dxa"/>
            <w:vAlign w:val="top"/>
          </w:tcPr>
          <w:p w14:paraId="206D422D">
            <w:pPr>
              <w:pStyle w:val="8"/>
              <w:spacing w:before="144" w:line="228"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王志凯</w:t>
            </w:r>
          </w:p>
        </w:tc>
      </w:tr>
      <w:tr w14:paraId="21776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661" w:type="dxa"/>
            <w:vAlign w:val="top"/>
          </w:tcPr>
          <w:p w14:paraId="68A73707">
            <w:pPr>
              <w:pStyle w:val="8"/>
              <w:spacing w:before="146" w:line="228" w:lineRule="auto"/>
              <w:ind w:left="1162"/>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副校长</w:t>
            </w:r>
          </w:p>
        </w:tc>
        <w:tc>
          <w:tcPr>
            <w:tcW w:w="2955" w:type="dxa"/>
            <w:vAlign w:val="top"/>
          </w:tcPr>
          <w:p w14:paraId="40564EB1">
            <w:pPr>
              <w:pStyle w:val="8"/>
              <w:spacing w:before="146" w:line="228" w:lineRule="auto"/>
              <w:ind w:left="1261"/>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马波</w:t>
            </w:r>
          </w:p>
        </w:tc>
      </w:tr>
      <w:tr w14:paraId="18B35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661" w:type="dxa"/>
            <w:vAlign w:val="top"/>
          </w:tcPr>
          <w:p w14:paraId="7E87E764">
            <w:pPr>
              <w:pStyle w:val="8"/>
              <w:spacing w:before="144" w:line="228" w:lineRule="auto"/>
              <w:ind w:left="1162"/>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副校长</w:t>
            </w:r>
          </w:p>
        </w:tc>
        <w:tc>
          <w:tcPr>
            <w:tcW w:w="2955" w:type="dxa"/>
            <w:vAlign w:val="top"/>
          </w:tcPr>
          <w:p w14:paraId="4257CEA9">
            <w:pPr>
              <w:pStyle w:val="8"/>
              <w:spacing w:before="144" w:line="228" w:lineRule="auto"/>
              <w:ind w:left="115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薛宏</w:t>
            </w:r>
          </w:p>
        </w:tc>
      </w:tr>
      <w:tr w14:paraId="74A41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661" w:type="dxa"/>
            <w:vAlign w:val="top"/>
          </w:tcPr>
          <w:p w14:paraId="754843F8">
            <w:pPr>
              <w:pStyle w:val="8"/>
              <w:spacing w:before="144" w:line="227" w:lineRule="auto"/>
              <w:ind w:left="1058"/>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副校长</w:t>
            </w:r>
          </w:p>
        </w:tc>
        <w:tc>
          <w:tcPr>
            <w:tcW w:w="2955" w:type="dxa"/>
            <w:vAlign w:val="top"/>
          </w:tcPr>
          <w:p w14:paraId="2C76A20B">
            <w:pPr>
              <w:pStyle w:val="8"/>
              <w:spacing w:before="144" w:line="228" w:lineRule="auto"/>
              <w:ind w:left="1161"/>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顾欢</w:t>
            </w:r>
          </w:p>
        </w:tc>
      </w:tr>
      <w:tr w14:paraId="1BCF6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661" w:type="dxa"/>
            <w:vAlign w:val="top"/>
          </w:tcPr>
          <w:p w14:paraId="45067CBD">
            <w:pPr>
              <w:pStyle w:val="8"/>
              <w:spacing w:before="144" w:line="228" w:lineRule="auto"/>
              <w:ind w:left="1162"/>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副校长</w:t>
            </w:r>
          </w:p>
        </w:tc>
        <w:tc>
          <w:tcPr>
            <w:tcW w:w="2955" w:type="dxa"/>
            <w:vAlign w:val="top"/>
          </w:tcPr>
          <w:p w14:paraId="2E1F9616">
            <w:pPr>
              <w:pStyle w:val="8"/>
              <w:spacing w:before="145" w:line="227" w:lineRule="auto"/>
              <w:ind w:left="1153"/>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白国强</w:t>
            </w:r>
          </w:p>
        </w:tc>
      </w:tr>
      <w:tr w14:paraId="633C3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3661" w:type="dxa"/>
            <w:vAlign w:val="top"/>
          </w:tcPr>
          <w:p w14:paraId="4311FAD3">
            <w:pPr>
              <w:pStyle w:val="8"/>
              <w:spacing w:before="145" w:line="228" w:lineRule="auto"/>
              <w:ind w:left="951"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副校长</w:t>
            </w:r>
          </w:p>
        </w:tc>
        <w:tc>
          <w:tcPr>
            <w:tcW w:w="2955" w:type="dxa"/>
            <w:vAlign w:val="top"/>
          </w:tcPr>
          <w:p w14:paraId="026F23D4">
            <w:pPr>
              <w:pStyle w:val="8"/>
              <w:spacing w:before="146" w:line="228" w:lineRule="auto"/>
              <w:ind w:left="115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冯坤</w:t>
            </w:r>
          </w:p>
        </w:tc>
      </w:tr>
    </w:tbl>
    <w:p w14:paraId="5AB8A8A8">
      <w:pPr>
        <w:numPr>
          <w:ilvl w:val="0"/>
          <w:numId w:val="0"/>
        </w:numPr>
        <w:spacing w:before="78" w:line="360" w:lineRule="auto"/>
        <w:ind w:left="4" w:leftChars="0" w:firstLine="544" w:firstLineChars="200"/>
        <w:outlineLvl w:val="1"/>
        <w:rPr>
          <w:rFonts w:hint="eastAsia" w:ascii="黑体" w:hAnsi="黑体" w:eastAsia="黑体" w:cs="黑体"/>
          <w:b w:val="0"/>
          <w:bCs w:val="0"/>
          <w:spacing w:val="-4"/>
          <w:sz w:val="28"/>
          <w:szCs w:val="28"/>
          <w:lang w:val="en-US" w:eastAsia="zh-CN"/>
        </w:rPr>
      </w:pPr>
      <w:r>
        <w:rPr>
          <w:rFonts w:hint="eastAsia" w:ascii="黑体" w:hAnsi="黑体" w:eastAsia="黑体" w:cs="黑体"/>
          <w:b w:val="0"/>
          <w:bCs w:val="0"/>
          <w:spacing w:val="-4"/>
          <w:kern w:val="2"/>
          <w:sz w:val="28"/>
          <w:szCs w:val="28"/>
          <w:lang w:val="en-US" w:eastAsia="zh-CN" w:bidi="ar-SA"/>
        </w:rPr>
        <w:t>四、</w:t>
      </w:r>
      <w:r>
        <w:rPr>
          <w:rFonts w:hint="eastAsia" w:ascii="黑体" w:hAnsi="黑体" w:eastAsia="黑体" w:cs="黑体"/>
          <w:b w:val="0"/>
          <w:bCs w:val="0"/>
          <w:spacing w:val="-4"/>
          <w:sz w:val="28"/>
          <w:szCs w:val="28"/>
          <w:lang w:val="en-US" w:eastAsia="zh-CN"/>
        </w:rPr>
        <w:t>校徽</w:t>
      </w:r>
    </w:p>
    <w:p w14:paraId="31BC6F5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imes New Roman" w:hAnsi="Times New Roman" w:eastAsia="仿宋_GB2312" w:cs="Times New Roman"/>
          <w:sz w:val="28"/>
          <w:szCs w:val="36"/>
          <w:lang w:val="en-US" w:eastAsia="zh-CN"/>
        </w:rPr>
      </w:pPr>
      <w:r>
        <w:rPr>
          <w:rFonts w:hint="eastAsia" w:ascii="Times New Roman" w:hAnsi="Times New Roman" w:eastAsia="仿宋_GB2312" w:cs="Times New Roman"/>
          <w:sz w:val="28"/>
          <w:szCs w:val="36"/>
          <w:lang w:val="en-US" w:eastAsia="zh-CN"/>
        </w:rPr>
        <w:t>豫北医学院校徽是以环形徽章形式为基本构造进行盾牌图形的设计创新，盾牌的上方是学校特有的新现代主义与古典主义结合的圆拱形建筑，形成学校较强的专属性，下方是象征医学的蛇形杖，简洁明了，体现学校医学特性。蓝，黄色调的应用使校标的整体看起来庄重而独特。</w:t>
      </w:r>
    </w:p>
    <w:p w14:paraId="443A65ED">
      <w:pPr>
        <w:widowControl w:val="0"/>
        <w:numPr>
          <w:ilvl w:val="0"/>
          <w:numId w:val="0"/>
        </w:numPr>
        <w:spacing w:before="78" w:line="360" w:lineRule="auto"/>
        <w:ind w:leftChars="200"/>
        <w:jc w:val="center"/>
        <w:outlineLvl w:val="1"/>
        <w:rPr>
          <w:rFonts w:hint="default" w:ascii="黑体" w:hAnsi="黑体" w:eastAsia="黑体" w:cs="黑体"/>
          <w:b w:val="0"/>
          <w:bCs w:val="0"/>
          <w:spacing w:val="-4"/>
          <w:sz w:val="28"/>
          <w:szCs w:val="28"/>
          <w:lang w:val="en-US" w:eastAsia="zh-CN"/>
        </w:rPr>
      </w:pPr>
      <w:r>
        <w:rPr>
          <w:rFonts w:hint="default" w:ascii="黑体" w:hAnsi="黑体" w:eastAsia="黑体" w:cs="黑体"/>
          <w:b w:val="0"/>
          <w:bCs w:val="0"/>
          <w:spacing w:val="-4"/>
          <w:sz w:val="28"/>
          <w:szCs w:val="28"/>
          <w:lang w:val="en-US" w:eastAsia="zh-CN"/>
        </w:rPr>
        <w:drawing>
          <wp:inline distT="0" distB="0" distL="114300" distR="114300">
            <wp:extent cx="1933575" cy="1933575"/>
            <wp:effectExtent l="0" t="0" r="9525" b="9525"/>
            <wp:docPr id="1" name="图片 1" descr="e35f28e35019220b59c3d1c6bedaf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35f28e35019220b59c3d1c6bedaf960"/>
                    <pic:cNvPicPr>
                      <a:picLocks noChangeAspect="1"/>
                    </pic:cNvPicPr>
                  </pic:nvPicPr>
                  <pic:blipFill>
                    <a:blip r:embed="rId7"/>
                    <a:stretch>
                      <a:fillRect/>
                    </a:stretch>
                  </pic:blipFill>
                  <pic:spPr>
                    <a:xfrm>
                      <a:off x="0" y="0"/>
                      <a:ext cx="1933575" cy="1933575"/>
                    </a:xfrm>
                    <a:prstGeom prst="rect">
                      <a:avLst/>
                    </a:prstGeom>
                  </pic:spPr>
                </pic:pic>
              </a:graphicData>
            </a:graphic>
          </wp:inline>
        </w:drawing>
      </w:r>
    </w:p>
    <w:p w14:paraId="3A64B462">
      <w:pPr>
        <w:widowControl w:val="0"/>
        <w:numPr>
          <w:ilvl w:val="0"/>
          <w:numId w:val="0"/>
        </w:numPr>
        <w:spacing w:before="78" w:line="360" w:lineRule="auto"/>
        <w:ind w:leftChars="200"/>
        <w:jc w:val="center"/>
        <w:outlineLvl w:val="1"/>
        <w:rPr>
          <w:rFonts w:hint="default" w:ascii="黑体" w:hAnsi="黑体" w:eastAsia="黑体" w:cs="黑体"/>
          <w:b w:val="0"/>
          <w:bCs w:val="0"/>
          <w:spacing w:val="-4"/>
          <w:sz w:val="28"/>
          <w:szCs w:val="28"/>
          <w:lang w:val="en-US" w:eastAsia="zh-CN"/>
        </w:rPr>
      </w:pPr>
    </w:p>
    <w:p w14:paraId="46927FB6">
      <w:pPr>
        <w:widowControl w:val="0"/>
        <w:numPr>
          <w:ilvl w:val="0"/>
          <w:numId w:val="0"/>
        </w:numPr>
        <w:spacing w:before="78" w:line="360" w:lineRule="auto"/>
        <w:ind w:leftChars="200"/>
        <w:jc w:val="center"/>
        <w:outlineLvl w:val="1"/>
        <w:rPr>
          <w:rFonts w:hint="default" w:ascii="黑体" w:hAnsi="黑体" w:eastAsia="黑体" w:cs="黑体"/>
          <w:b w:val="0"/>
          <w:bCs w:val="0"/>
          <w:spacing w:val="-4"/>
          <w:sz w:val="28"/>
          <w:szCs w:val="28"/>
          <w:lang w:val="en-US" w:eastAsia="zh-CN"/>
        </w:rPr>
      </w:pPr>
    </w:p>
    <w:p w14:paraId="266CC2ED">
      <w:pPr>
        <w:widowControl w:val="0"/>
        <w:numPr>
          <w:ilvl w:val="0"/>
          <w:numId w:val="0"/>
        </w:numPr>
        <w:spacing w:before="78" w:line="360" w:lineRule="auto"/>
        <w:ind w:leftChars="200"/>
        <w:jc w:val="center"/>
        <w:outlineLvl w:val="1"/>
        <w:rPr>
          <w:rFonts w:hint="default" w:ascii="黑体" w:hAnsi="黑体" w:eastAsia="黑体" w:cs="黑体"/>
          <w:b w:val="0"/>
          <w:bCs w:val="0"/>
          <w:spacing w:val="-4"/>
          <w:sz w:val="28"/>
          <w:szCs w:val="28"/>
          <w:lang w:val="en-US" w:eastAsia="zh-CN"/>
        </w:rPr>
      </w:pPr>
    </w:p>
    <w:p w14:paraId="78F85C81">
      <w:pPr>
        <w:widowControl w:val="0"/>
        <w:numPr>
          <w:ilvl w:val="0"/>
          <w:numId w:val="0"/>
        </w:numPr>
        <w:spacing w:before="78" w:line="360" w:lineRule="auto"/>
        <w:ind w:leftChars="200"/>
        <w:jc w:val="center"/>
        <w:outlineLvl w:val="1"/>
        <w:rPr>
          <w:rFonts w:hint="default" w:ascii="黑体" w:hAnsi="黑体" w:eastAsia="黑体" w:cs="黑体"/>
          <w:b w:val="0"/>
          <w:bCs w:val="0"/>
          <w:spacing w:val="-4"/>
          <w:sz w:val="28"/>
          <w:szCs w:val="28"/>
          <w:lang w:val="en-US" w:eastAsia="zh-CN"/>
        </w:rPr>
      </w:pPr>
    </w:p>
    <w:p w14:paraId="0ED84243">
      <w:pPr>
        <w:widowControl w:val="0"/>
        <w:numPr>
          <w:ilvl w:val="0"/>
          <w:numId w:val="0"/>
        </w:numPr>
        <w:spacing w:before="78" w:line="360" w:lineRule="auto"/>
        <w:ind w:leftChars="200"/>
        <w:jc w:val="center"/>
        <w:outlineLvl w:val="1"/>
        <w:rPr>
          <w:rFonts w:hint="default" w:ascii="黑体" w:hAnsi="黑体" w:eastAsia="黑体" w:cs="黑体"/>
          <w:b w:val="0"/>
          <w:bCs w:val="0"/>
          <w:spacing w:val="-4"/>
          <w:sz w:val="28"/>
          <w:szCs w:val="28"/>
          <w:lang w:val="en-US" w:eastAsia="zh-CN"/>
        </w:rPr>
      </w:pPr>
    </w:p>
    <w:p w14:paraId="0D880E2C">
      <w:pPr>
        <w:widowControl w:val="0"/>
        <w:numPr>
          <w:ilvl w:val="0"/>
          <w:numId w:val="0"/>
        </w:numPr>
        <w:spacing w:before="78" w:line="360" w:lineRule="auto"/>
        <w:ind w:leftChars="200"/>
        <w:jc w:val="center"/>
        <w:outlineLvl w:val="1"/>
        <w:rPr>
          <w:rFonts w:hint="default" w:ascii="黑体" w:hAnsi="黑体" w:eastAsia="黑体" w:cs="黑体"/>
          <w:b w:val="0"/>
          <w:bCs w:val="0"/>
          <w:spacing w:val="-4"/>
          <w:sz w:val="28"/>
          <w:szCs w:val="28"/>
          <w:lang w:val="en-US" w:eastAsia="zh-CN"/>
        </w:rPr>
      </w:pPr>
    </w:p>
    <w:p w14:paraId="517B6EBD">
      <w:pPr>
        <w:widowControl w:val="0"/>
        <w:numPr>
          <w:ilvl w:val="0"/>
          <w:numId w:val="0"/>
        </w:numPr>
        <w:spacing w:before="78" w:line="360" w:lineRule="auto"/>
        <w:ind w:leftChars="200"/>
        <w:jc w:val="center"/>
        <w:outlineLvl w:val="1"/>
        <w:rPr>
          <w:rFonts w:hint="default" w:ascii="黑体" w:hAnsi="黑体" w:eastAsia="黑体" w:cs="黑体"/>
          <w:b w:val="0"/>
          <w:bCs w:val="0"/>
          <w:spacing w:val="-4"/>
          <w:sz w:val="28"/>
          <w:szCs w:val="28"/>
          <w:lang w:val="en-US" w:eastAsia="zh-CN"/>
        </w:rPr>
      </w:pPr>
    </w:p>
    <w:p w14:paraId="6CF61178">
      <w:pPr>
        <w:numPr>
          <w:ilvl w:val="0"/>
          <w:numId w:val="0"/>
        </w:numPr>
        <w:spacing w:before="155" w:line="204" w:lineRule="auto"/>
        <w:jc w:val="center"/>
        <w:outlineLvl w:val="0"/>
        <w:rPr>
          <w:rFonts w:hint="default" w:ascii="方正小标宋简体" w:hAnsi="方正小标宋简体" w:eastAsia="方正小标宋简体" w:cs="方正小标宋简体"/>
          <w:spacing w:val="-1"/>
          <w:kern w:val="2"/>
          <w:sz w:val="36"/>
          <w:szCs w:val="36"/>
          <w:lang w:val="en-US" w:eastAsia="zh-CN" w:bidi="ar-SA"/>
        </w:rPr>
      </w:pPr>
      <w:r>
        <w:rPr>
          <w:rFonts w:hint="eastAsia" w:ascii="方正小标宋简体" w:hAnsi="方正小标宋简体" w:eastAsia="方正小标宋简体" w:cs="方正小标宋简体"/>
          <w:spacing w:val="-1"/>
          <w:kern w:val="2"/>
          <w:sz w:val="36"/>
          <w:szCs w:val="36"/>
          <w:lang w:val="en-US" w:eastAsia="zh-CN" w:bidi="ar-SA"/>
        </w:rPr>
        <w:t>第二部分</w:t>
      </w:r>
      <w:r>
        <w:rPr>
          <w:rFonts w:hint="default" w:ascii="方正小标宋简体" w:hAnsi="方正小标宋简体" w:eastAsia="方正小标宋简体" w:cs="方正小标宋简体"/>
          <w:spacing w:val="-1"/>
          <w:kern w:val="2"/>
          <w:sz w:val="36"/>
          <w:szCs w:val="36"/>
          <w:lang w:val="en-US" w:eastAsia="zh-CN" w:bidi="ar-SA"/>
        </w:rPr>
        <w:t xml:space="preserve">   临床医学专业情况</w:t>
      </w:r>
    </w:p>
    <w:p w14:paraId="715771E1">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highlight w:val="none"/>
          <w:lang w:val="en-US" w:eastAsia="zh-CN" w:bidi="ar-SA"/>
        </w:rPr>
      </w:pPr>
      <w:r>
        <w:rPr>
          <w:rFonts w:hint="default" w:ascii="黑体" w:hAnsi="黑体" w:eastAsia="黑体" w:cs="黑体"/>
          <w:b w:val="0"/>
          <w:bCs w:val="0"/>
          <w:spacing w:val="-4"/>
          <w:kern w:val="2"/>
          <w:sz w:val="28"/>
          <w:szCs w:val="28"/>
          <w:highlight w:val="none"/>
          <w:lang w:val="en-US" w:eastAsia="zh-CN" w:bidi="ar-SA"/>
        </w:rPr>
        <w:t>一、</w:t>
      </w:r>
      <w:r>
        <w:rPr>
          <w:rFonts w:hint="eastAsia" w:ascii="黑体" w:hAnsi="黑体" w:eastAsia="黑体" w:cs="黑体"/>
          <w:b w:val="0"/>
          <w:bCs w:val="0"/>
          <w:spacing w:val="-4"/>
          <w:kern w:val="2"/>
          <w:sz w:val="28"/>
          <w:szCs w:val="28"/>
          <w:highlight w:val="none"/>
          <w:lang w:val="en-US" w:eastAsia="zh-CN" w:bidi="ar-SA"/>
        </w:rPr>
        <w:t>专业介绍</w:t>
      </w:r>
    </w:p>
    <w:p w14:paraId="5CAD9E4E">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学制：</w:t>
      </w:r>
      <w:r>
        <w:rPr>
          <w:rFonts w:hint="default" w:ascii="Times New Roman" w:hAnsi="Times New Roman" w:eastAsia="仿宋_GB2312" w:cs="Times New Roman"/>
          <w:sz w:val="28"/>
          <w:szCs w:val="36"/>
          <w:lang w:val="en-US" w:eastAsia="zh-CN"/>
        </w:rPr>
        <w:t xml:space="preserve">5年      </w:t>
      </w:r>
    </w:p>
    <w:p w14:paraId="4F2ED8BD">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授予学位：</w:t>
      </w:r>
      <w:r>
        <w:rPr>
          <w:rFonts w:hint="default" w:ascii="Times New Roman" w:hAnsi="Times New Roman" w:eastAsia="仿宋_GB2312" w:cs="Times New Roman"/>
          <w:sz w:val="28"/>
          <w:szCs w:val="36"/>
          <w:lang w:val="en-US" w:eastAsia="zh-CN"/>
        </w:rPr>
        <w:t>医学学士</w:t>
      </w:r>
    </w:p>
    <w:p w14:paraId="2C728916">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培养目标</w:t>
      </w:r>
      <w:r>
        <w:rPr>
          <w:rFonts w:hint="default" w:ascii="Times New Roman" w:hAnsi="Times New Roman" w:eastAsia="仿宋_GB2312" w:cs="Times New Roman"/>
          <w:sz w:val="28"/>
          <w:szCs w:val="36"/>
          <w:lang w:val="en-US" w:eastAsia="zh-CN"/>
        </w:rPr>
        <w:t>：培养德、智、体、美、劳全面发展，能够掌握医学基础理论、基本知识、熟练的实践操作技能和深厚的医学人文素养，初步具备临床医学思维、临床能力及终身学习能力，在各级医疗机构从事临床医疗、预防、保健、康复等方面工作的高素质应用型医学人才。</w:t>
      </w:r>
    </w:p>
    <w:p w14:paraId="6E6E4FDA">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专业特色：</w:t>
      </w:r>
      <w:r>
        <w:rPr>
          <w:rFonts w:hint="default" w:ascii="Times New Roman" w:hAnsi="Times New Roman" w:eastAsia="仿宋_GB2312" w:cs="Times New Roman"/>
          <w:sz w:val="28"/>
          <w:szCs w:val="36"/>
          <w:lang w:val="en-US" w:eastAsia="zh-CN"/>
        </w:rPr>
        <w:t>以培养“医德医风正、专业知识实、临床技能强”的医疗人才为引领，坚持以全面适应社会需求为导向，以全面实施素质教育为核心，以全面培育医学英才为重点。开设“基础医学、临床医学、预防医学、医学人文和全科医学”五大课程模块，完善“附属医院、教学医院、基层医疗联盟，社区卫生服务中心”四类临床教学平台。学院与省卫健委共建现代化的“河南省临床医学考试中心：河南省住院医师规培考试基地”，为临床医学专业学生实践技能培养奠定了坚实的基础。</w:t>
      </w:r>
    </w:p>
    <w:p w14:paraId="67ED801A">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改革发展：</w:t>
      </w:r>
      <w:r>
        <w:rPr>
          <w:rFonts w:hint="default" w:ascii="Times New Roman" w:hAnsi="Times New Roman" w:eastAsia="仿宋_GB2312" w:cs="Times New Roman"/>
          <w:sz w:val="28"/>
          <w:szCs w:val="36"/>
          <w:lang w:val="en-US" w:eastAsia="zh-CN"/>
        </w:rPr>
        <w:t>临床医学专业是豫北医学院成立之初而设立的专业，2013年被评为河南省“专业综合改革试点”，2017年入选河南省教育厅“民办高校品牌专业”建设点，2021年入选“河南省一流本科专业建设点”，同年在河南省首届医学生医学技术与技能大赛中，临床医学专业学生荣获一等奖，2022年获民办普通高等学校学科专业建设资助项目。</w:t>
      </w:r>
    </w:p>
    <w:p w14:paraId="41D50790">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课程建设：</w:t>
      </w:r>
      <w:r>
        <w:rPr>
          <w:rFonts w:hint="default" w:ascii="Times New Roman" w:hAnsi="Times New Roman" w:eastAsia="仿宋_GB2312" w:cs="Times New Roman"/>
          <w:sz w:val="28"/>
          <w:szCs w:val="36"/>
          <w:lang w:val="en-US" w:eastAsia="zh-CN"/>
        </w:rPr>
        <w:t>围绕“五大课程模块”开设有25门核心课程，聚焦医师资格考试，建设核心课程线上资源，《临床医学综合》等6门课程获批省级一流课程，《人体解剖学》等4门课程为省级精品在线课程，《临床技能学》等4部教材获批十四五规划教材，《宫腔镜技术虚拟仿真项目》等3项通过省虚拟仿真实验教学系列项目建设验收，《临床虚拟诊疗技术研究中心》等2项获批新乡市工程技术研究建设。</w:t>
      </w:r>
    </w:p>
    <w:p w14:paraId="4B7EB134">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人才培养：</w:t>
      </w:r>
      <w:r>
        <w:rPr>
          <w:rFonts w:hint="default" w:ascii="Times New Roman" w:hAnsi="Times New Roman" w:eastAsia="仿宋_GB2312" w:cs="Times New Roman"/>
          <w:sz w:val="28"/>
          <w:szCs w:val="36"/>
          <w:lang w:val="en-US" w:eastAsia="zh-CN"/>
        </w:rPr>
        <w:t>连续3年学生考研过线率逐年上升，执业医师考试通过率逐年提高，毕业生就业率常年保持在95%以上。强化产学合作，获批教育部产学合作协同育人项目4项。申欣、张夏月荣获“中国大学生自强之星”，侯英泽荣获省大学生“创新之星”，王金墙、申欣等荣获“河南青年五四奖章”。</w:t>
      </w:r>
    </w:p>
    <w:p w14:paraId="5907A01D">
      <w:pPr>
        <w:numPr>
          <w:ilvl w:val="0"/>
          <w:numId w:val="0"/>
        </w:numPr>
        <w:spacing w:before="78" w:line="360" w:lineRule="auto"/>
        <w:ind w:left="4" w:leftChars="0" w:firstLine="544" w:firstLineChars="200"/>
        <w:jc w:val="both"/>
        <w:outlineLvl w:val="1"/>
        <w:rPr>
          <w:rFonts w:hint="default" w:ascii="黑体" w:hAnsi="黑体" w:eastAsia="黑体" w:cs="黑体"/>
          <w:b w:val="0"/>
          <w:bCs w:val="0"/>
          <w:spacing w:val="-4"/>
          <w:kern w:val="2"/>
          <w:sz w:val="28"/>
          <w:szCs w:val="28"/>
          <w:highlight w:val="none"/>
          <w:lang w:val="en-US" w:eastAsia="zh-CN" w:bidi="ar-SA"/>
        </w:rPr>
      </w:pPr>
      <w:r>
        <w:rPr>
          <w:rFonts w:hint="default" w:ascii="黑体" w:hAnsi="黑体" w:eastAsia="黑体" w:cs="黑体"/>
          <w:b w:val="0"/>
          <w:bCs w:val="0"/>
          <w:spacing w:val="-4"/>
          <w:kern w:val="2"/>
          <w:sz w:val="28"/>
          <w:szCs w:val="28"/>
          <w:highlight w:val="none"/>
          <w:lang w:val="en-US" w:eastAsia="zh-CN" w:bidi="ar-SA"/>
        </w:rPr>
        <w:t>二、办学规模</w:t>
      </w:r>
    </w:p>
    <w:p w14:paraId="2D9DF3B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highlight w:val="none"/>
          <w:lang w:val="en-US" w:eastAsia="zh-CN"/>
        </w:rPr>
      </w:pPr>
      <w:r>
        <w:rPr>
          <w:rFonts w:hint="default" w:ascii="Times New Roman" w:hAnsi="Times New Roman" w:eastAsia="仿宋_GB2312" w:cs="Times New Roman"/>
          <w:sz w:val="28"/>
          <w:szCs w:val="36"/>
          <w:highlight w:val="none"/>
          <w:lang w:val="en-US" w:eastAsia="zh-CN"/>
        </w:rPr>
        <w:t>临床医学专业自20</w:t>
      </w:r>
      <w:r>
        <w:rPr>
          <w:rFonts w:hint="eastAsia" w:ascii="Times New Roman" w:hAnsi="Times New Roman" w:eastAsia="仿宋_GB2312" w:cs="Times New Roman"/>
          <w:sz w:val="28"/>
          <w:szCs w:val="36"/>
          <w:highlight w:val="none"/>
          <w:lang w:val="en-US" w:eastAsia="zh-CN"/>
        </w:rPr>
        <w:t>03</w:t>
      </w:r>
      <w:r>
        <w:rPr>
          <w:rFonts w:hint="default" w:ascii="Times New Roman" w:hAnsi="Times New Roman" w:eastAsia="仿宋_GB2312" w:cs="Times New Roman"/>
          <w:sz w:val="28"/>
          <w:szCs w:val="36"/>
          <w:highlight w:val="none"/>
          <w:lang w:val="en-US" w:eastAsia="zh-CN"/>
        </w:rPr>
        <w:t xml:space="preserve"> 年开始首次招生，202</w:t>
      </w:r>
      <w:r>
        <w:rPr>
          <w:rFonts w:hint="eastAsia" w:ascii="Times New Roman" w:hAnsi="Times New Roman" w:eastAsia="仿宋_GB2312" w:cs="Times New Roman"/>
          <w:sz w:val="28"/>
          <w:szCs w:val="36"/>
          <w:highlight w:val="none"/>
          <w:lang w:val="en-US" w:eastAsia="zh-CN"/>
        </w:rPr>
        <w:t>1</w:t>
      </w:r>
      <w:r>
        <w:rPr>
          <w:rFonts w:hint="default" w:ascii="Times New Roman" w:hAnsi="Times New Roman" w:eastAsia="仿宋_GB2312" w:cs="Times New Roman"/>
          <w:sz w:val="28"/>
          <w:szCs w:val="36"/>
          <w:highlight w:val="none"/>
          <w:lang w:val="en-US" w:eastAsia="zh-CN"/>
        </w:rPr>
        <w:t>年</w:t>
      </w:r>
      <w:r>
        <w:rPr>
          <w:rFonts w:hint="eastAsia" w:ascii="Times New Roman" w:hAnsi="Times New Roman" w:eastAsia="仿宋_GB2312" w:cs="Times New Roman"/>
          <w:sz w:val="28"/>
          <w:szCs w:val="36"/>
          <w:highlight w:val="none"/>
          <w:lang w:val="en-US" w:eastAsia="zh-CN"/>
        </w:rPr>
        <w:t>到</w:t>
      </w:r>
      <w:r>
        <w:rPr>
          <w:rFonts w:hint="default" w:ascii="Times New Roman" w:hAnsi="Times New Roman" w:eastAsia="仿宋_GB2312" w:cs="Times New Roman"/>
          <w:sz w:val="28"/>
          <w:szCs w:val="36"/>
          <w:highlight w:val="none"/>
          <w:lang w:val="en-US" w:eastAsia="zh-CN"/>
        </w:rPr>
        <w:t>202</w:t>
      </w:r>
      <w:r>
        <w:rPr>
          <w:rFonts w:hint="eastAsia" w:ascii="Times New Roman" w:hAnsi="Times New Roman" w:eastAsia="仿宋_GB2312" w:cs="Times New Roman"/>
          <w:sz w:val="28"/>
          <w:szCs w:val="36"/>
          <w:highlight w:val="none"/>
          <w:lang w:val="en-US" w:eastAsia="zh-CN"/>
        </w:rPr>
        <w:t>5</w:t>
      </w:r>
      <w:r>
        <w:rPr>
          <w:rFonts w:hint="default" w:ascii="Times New Roman" w:hAnsi="Times New Roman" w:eastAsia="仿宋_GB2312" w:cs="Times New Roman"/>
          <w:sz w:val="28"/>
          <w:szCs w:val="36"/>
          <w:highlight w:val="none"/>
          <w:lang w:val="en-US" w:eastAsia="zh-CN"/>
        </w:rPr>
        <w:t>年每年招</w:t>
      </w:r>
      <w:r>
        <w:rPr>
          <w:rFonts w:hint="eastAsia" w:ascii="Times New Roman" w:hAnsi="Times New Roman" w:eastAsia="仿宋_GB2312" w:cs="Times New Roman"/>
          <w:sz w:val="28"/>
          <w:szCs w:val="36"/>
          <w:highlight w:val="none"/>
          <w:lang w:val="en-US" w:eastAsia="zh-CN"/>
        </w:rPr>
        <w:t>收本科生600~40</w:t>
      </w:r>
      <w:r>
        <w:rPr>
          <w:rFonts w:hint="default" w:ascii="Times New Roman" w:hAnsi="Times New Roman" w:eastAsia="仿宋_GB2312" w:cs="Times New Roman"/>
          <w:sz w:val="28"/>
          <w:szCs w:val="36"/>
          <w:highlight w:val="none"/>
          <w:lang w:val="en-US" w:eastAsia="zh-CN"/>
        </w:rPr>
        <w:t>0 人，</w:t>
      </w:r>
      <w:r>
        <w:rPr>
          <w:rFonts w:hint="eastAsia" w:ascii="Times New Roman" w:hAnsi="Times New Roman" w:eastAsia="仿宋_GB2312" w:cs="Times New Roman"/>
          <w:sz w:val="28"/>
          <w:szCs w:val="36"/>
          <w:highlight w:val="none"/>
          <w:lang w:val="en-US" w:eastAsia="zh-CN"/>
        </w:rPr>
        <w:t>专升本科生400~500</w:t>
      </w:r>
      <w:r>
        <w:rPr>
          <w:rFonts w:hint="default" w:ascii="Times New Roman" w:hAnsi="Times New Roman" w:eastAsia="仿宋_GB2312" w:cs="Times New Roman"/>
          <w:sz w:val="28"/>
          <w:szCs w:val="36"/>
          <w:highlight w:val="none"/>
          <w:lang w:val="en-US" w:eastAsia="zh-CN"/>
        </w:rPr>
        <w:t>人。目前在校生近</w:t>
      </w:r>
      <w:r>
        <w:rPr>
          <w:rFonts w:hint="eastAsia" w:ascii="Times New Roman" w:hAnsi="Times New Roman" w:eastAsia="仿宋_GB2312" w:cs="Times New Roman"/>
          <w:sz w:val="28"/>
          <w:szCs w:val="36"/>
          <w:highlight w:val="none"/>
          <w:lang w:val="en-US" w:eastAsia="zh-CN"/>
        </w:rPr>
        <w:t>50</w:t>
      </w:r>
      <w:r>
        <w:rPr>
          <w:rFonts w:hint="default" w:ascii="Times New Roman" w:hAnsi="Times New Roman" w:eastAsia="仿宋_GB2312" w:cs="Times New Roman"/>
          <w:sz w:val="28"/>
          <w:szCs w:val="36"/>
          <w:highlight w:val="none"/>
          <w:lang w:val="en-US" w:eastAsia="zh-CN"/>
        </w:rPr>
        <w:t>00 人。</w:t>
      </w:r>
    </w:p>
    <w:p w14:paraId="5543C1C7">
      <w:pPr>
        <w:numPr>
          <w:ilvl w:val="0"/>
          <w:numId w:val="0"/>
        </w:numPr>
        <w:spacing w:before="78" w:line="360" w:lineRule="auto"/>
        <w:ind w:left="4" w:leftChars="0" w:firstLine="544" w:firstLineChars="200"/>
        <w:jc w:val="both"/>
        <w:outlineLvl w:val="1"/>
        <w:rPr>
          <w:rFonts w:hint="default" w:ascii="黑体" w:hAnsi="黑体" w:eastAsia="黑体" w:cs="黑体"/>
          <w:b w:val="0"/>
          <w:bCs w:val="0"/>
          <w:spacing w:val="-4"/>
          <w:kern w:val="2"/>
          <w:sz w:val="28"/>
          <w:szCs w:val="28"/>
          <w:highlight w:val="none"/>
          <w:lang w:val="en-US" w:eastAsia="zh-CN" w:bidi="ar-SA"/>
        </w:rPr>
      </w:pPr>
      <w:r>
        <w:rPr>
          <w:rFonts w:hint="default" w:ascii="黑体" w:hAnsi="黑体" w:eastAsia="黑体" w:cs="黑体"/>
          <w:b w:val="0"/>
          <w:bCs w:val="0"/>
          <w:spacing w:val="-4"/>
          <w:kern w:val="2"/>
          <w:sz w:val="28"/>
          <w:szCs w:val="28"/>
          <w:highlight w:val="none"/>
          <w:lang w:val="en-US" w:eastAsia="zh-CN" w:bidi="ar-SA"/>
        </w:rPr>
        <w:t>三、办学条件</w:t>
      </w:r>
    </w:p>
    <w:p w14:paraId="720500B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sz w:val="28"/>
          <w:szCs w:val="36"/>
          <w:lang w:val="en-US" w:eastAsia="zh-CN"/>
        </w:rPr>
        <w:t>前期</w:t>
      </w:r>
      <w:r>
        <w:rPr>
          <w:rFonts w:hint="default" w:ascii="Times New Roman" w:hAnsi="Times New Roman" w:eastAsia="仿宋_GB2312" w:cs="Times New Roman"/>
          <w:sz w:val="28"/>
          <w:szCs w:val="36"/>
          <w:lang w:val="en-US" w:eastAsia="zh-CN"/>
        </w:rPr>
        <w:t>基础</w:t>
      </w:r>
      <w:r>
        <w:rPr>
          <w:rFonts w:hint="eastAsia" w:ascii="Times New Roman" w:hAnsi="Times New Roman" w:eastAsia="仿宋_GB2312" w:cs="Times New Roman"/>
          <w:sz w:val="28"/>
          <w:szCs w:val="36"/>
          <w:lang w:val="en-US" w:eastAsia="zh-CN"/>
        </w:rPr>
        <w:t>理论课程由基础</w:t>
      </w:r>
      <w:r>
        <w:rPr>
          <w:rFonts w:hint="default" w:ascii="Times New Roman" w:hAnsi="Times New Roman" w:eastAsia="仿宋_GB2312" w:cs="Times New Roman"/>
          <w:sz w:val="28"/>
          <w:szCs w:val="36"/>
          <w:lang w:val="en-US" w:eastAsia="zh-CN"/>
        </w:rPr>
        <w:t>医学院</w:t>
      </w:r>
      <w:r>
        <w:rPr>
          <w:rFonts w:hint="eastAsia" w:ascii="Times New Roman" w:hAnsi="Times New Roman" w:eastAsia="仿宋_GB2312" w:cs="Times New Roman"/>
          <w:sz w:val="28"/>
          <w:szCs w:val="36"/>
          <w:lang w:val="en-US" w:eastAsia="zh-CN"/>
        </w:rPr>
        <w:t>承担，基础医学院</w:t>
      </w:r>
      <w:r>
        <w:rPr>
          <w:rFonts w:hint="default" w:ascii="Times New Roman" w:hAnsi="Times New Roman" w:eastAsia="仿宋_GB2312" w:cs="Times New Roman"/>
          <w:sz w:val="28"/>
          <w:szCs w:val="36"/>
          <w:lang w:val="en-US" w:eastAsia="zh-CN"/>
        </w:rPr>
        <w:t>成立于2012年，承担全校临床医学、医学影像学、护理学等各专业各层次和留学生的190多门基础医学课程。学院下设教研室8个。现有教职工101人，其中教授15人，副高级职称17人，讲师47人。</w:t>
      </w:r>
    </w:p>
    <w:p w14:paraId="7A5E691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本科教学质量工程建设成效显著。基础医学院深化教育教学改革，全方位多举措全面提高教育教学质量。先后获批河南省“临床医学专业综合改革试点”，省级实验教学示范中心（生物与基础医学实验教学中心），河南省一流专业（临床医学专业），省级课程思政教学团队（医学检验专业课程），省级优秀基层教学组织2个（医学形态学系列课程教学组、医学化学与生物化学系列课程教学组），省级一流本科课程4门（医学分子生物学、医学遗传学、组织学与胚胎学、医学生物化学），省级精品在线开放课程8门（医学分子生物学、医学遗传学、人体解剖学、医学生物化学、病理学、医学细胞生物学、组织学与胚胎学、医学化学），省级研究性教学示范课程（医学生物化学），省级课程思政样板课2门（组织学与胚胎学、生物化学与分子生物学），省级继续教育精品在线开放课程2门（人体解剖学、人体影像解剖学），省级继续教育课程思政示范课程3门（人体解剖学、人体影像解剖学、医学免疫学），共获得省级本科教学质量工程26项。 </w:t>
      </w:r>
    </w:p>
    <w:p w14:paraId="5225913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学改革和教学研究成果丰硕。近5年来主持和参与河南省高等教育（本科）教育教学研究重点项目等省级项目5项，主持厅级和校级教学研究项目60余项。获省级优秀教学成果一等奖1项、二等奖2项。“强化SPOC课程建设，创新人才培养模式”“基础医学数字教学资源建设与实践”“基础医学混合式教学模式探索”“立德树人守正创新，课程思政显现成效”先后获学校年度创新项目奖。《构建“六位一体”一流数字课程群，打造智慧教学新模式—以临床医学专业基础医学课程为例》获学校人才培养质量提升“一院一品”项目立项。相关教学改革研究成果在全国会议上进行多次交流、多家省级媒体进行报道。 </w:t>
      </w:r>
    </w:p>
    <w:p w14:paraId="463AB09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 “深化整合课程、创新教材建设”。主编出版教材共29部，其中主编的纸质+数字资源教材《医学遗传学》等5部教材被评为河南省“十二五”“十四五”普通高等教育规划教材，主编的《医学遗传学》教材获河南省首届教材建设一等奖。副主编和参编国家级和省级普通高等教育“十二五”“十三五”“十四五”规划教材12部。</w:t>
      </w:r>
    </w:p>
    <w:p w14:paraId="0BC3723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近五年来承担科研和教学研究项目83项，其中省厅级31项，获省厅级成果奖10余项。发表论文160余篇(SCI论文34篇)。拥有新乡市脑细胞损伤靶向干预重点实验室。组建有“脑损伤机制及靶向干预”“肿瘤微环境的分子干预及应用”“肿瘤与传染病防控技术开发”“梅杰综合征临床治疗策略探究”四支科技创新团队。指导学生在国家级和省级“创新创业训练计划”“挑战杯”“互联网+”创新创业大赛中获奖20余项。 </w:t>
      </w:r>
    </w:p>
    <w:p w14:paraId="7AEC727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以“党建+”为引领，基础医学院注重培养学生创新思维及思政融合育人精品活动，连续举办九届“绘出生命的色彩”解剖绘图大赛和“敬畏生命致敬大体老师”活动、七届“全科医生”技能大赛、四期暑期“卓越工程训练营”实践活动、医学词汇大赛，活动先后被中国新闻网、新华网、光明网、中国青年报客户端、人民日报客户端、河南日报、河南省教育厅等30余家媒体进行了报道。以“培根铸魂”为主线，落实立德树人根本任务、把思想政治工作贯穿教育教学全过程，“课程思政建设与实践”在全国性和省级会议作大会交流。以基层工会为桥梁，举办多种文体活动，构建和谐工作环境，增强团队凝聚力，使教职工身心愉悦地从事教育教学工作。</w:t>
      </w:r>
    </w:p>
    <w:p w14:paraId="385B309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sz w:val="28"/>
          <w:szCs w:val="36"/>
          <w:lang w:val="en-US" w:eastAsia="zh-CN"/>
        </w:rPr>
        <w:t>后期临床教学培养任务由临床学院、附属南阳南石医院、附属新乡市第二人民医院、郑州中心医院、郑州第七人民医院、濮阳油田总医院、焦作市中心医院、焦作市第二人民医院以及55家实习医院共同承担。</w:t>
      </w:r>
      <w:r>
        <w:rPr>
          <w:rFonts w:hint="default" w:ascii="Times New Roman" w:hAnsi="Times New Roman" w:eastAsia="仿宋_GB2312" w:cs="Times New Roman"/>
          <w:sz w:val="28"/>
          <w:szCs w:val="36"/>
          <w:lang w:val="en-US" w:eastAsia="zh-CN"/>
        </w:rPr>
        <w:t>为学生提供了充足的医疗资源与实践平台。</w:t>
      </w:r>
    </w:p>
    <w:p w14:paraId="7445200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60" w:firstLineChars="200"/>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临床学院下设诊断学教研室、外科学总论教研室、临床能力培训中心，同时设有内科学、外科学、妇产科学、儿科学、传染病学、五官科学、全科医学、急危重症学等8个课程教学研究中心。</w:t>
      </w:r>
    </w:p>
    <w:p w14:paraId="2C7DA33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60" w:firstLineChars="200"/>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拥有一支热爱教育事业、临床经验丰富、人员层次结构合理、教学效果优良的师资队伍，实力雄厚。拥有附属医院、全过程教学医院、实习医院及社区卫生实践基地，在教学基地分别建设有临床能力实训室。完善了“模拟人、标准化病人、虚拟仿真病人、临床场景”四位一体循序渐进的临床技能训练体系。创建了“8个月临床实习、4个月岗前体验、1个月社区实践”的三类见实习模式。开展了“见习前、实习前、毕业前”三阶段同质化临床技能培训，提升医学生娴熟的临床技能与深厚的医学人文素养。</w:t>
      </w:r>
    </w:p>
    <w:p w14:paraId="2BD8FCC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60" w:firstLineChars="200"/>
        <w:rPr>
          <w:rFonts w:hint="default" w:ascii="黑体" w:hAnsi="黑体" w:eastAsia="黑体" w:cs="黑体"/>
          <w:b w:val="0"/>
          <w:bCs w:val="0"/>
          <w:spacing w:val="-4"/>
          <w:kern w:val="2"/>
          <w:sz w:val="28"/>
          <w:szCs w:val="28"/>
          <w:lang w:val="en-US" w:eastAsia="zh-CN" w:bidi="ar-SA"/>
        </w:rPr>
      </w:pPr>
      <w:r>
        <w:rPr>
          <w:rFonts w:hint="eastAsia" w:ascii="Times New Roman" w:hAnsi="Times New Roman" w:eastAsia="仿宋_GB2312" w:cs="Times New Roman"/>
          <w:kern w:val="2"/>
          <w:sz w:val="28"/>
          <w:szCs w:val="36"/>
          <w:lang w:val="en-US" w:eastAsia="zh-CN" w:bidi="ar-SA"/>
        </w:rPr>
        <w:t>临床学院坚持为国育人为党育才的初心和使命，秉承“立德，强能，求真，济生”的院训，始终致力于以培养“医德医风正、专业知识实、临床技能强”的医疗人才。深化医教协同发展，坚持“早临床、多临床、反复临床”，融合“理论学习、临床见习、毕业实习”培养环节，实施“上午病房、下午课堂”临床医学全过程教学，开展“分段式”理论+实践的训练与考核，突出与岗位胜任力衔接、与全科医师规培衔接、与执业医师考试衔接的“三衔接”育人导向，培养新时代具有救死扶伤的道术、心中有爱的仁术、知识扎实的学术、本领过硬的技术、方法科学的艺术“五术”医学人才。</w:t>
      </w:r>
    </w:p>
    <w:p w14:paraId="3829A172">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四、核心课程</w:t>
      </w:r>
    </w:p>
    <w:p w14:paraId="1A9DDA77">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1. 生物与基础医学课程</w:t>
      </w:r>
    </w:p>
    <w:p w14:paraId="318E7B3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sz w:val="28"/>
          <w:szCs w:val="36"/>
          <w:lang w:val="en-US" w:eastAsia="zh-CN"/>
        </w:rPr>
        <w:t>系统</w:t>
      </w:r>
      <w:r>
        <w:rPr>
          <w:rFonts w:hint="default" w:ascii="Times New Roman" w:hAnsi="Times New Roman" w:eastAsia="仿宋_GB2312" w:cs="Times New Roman"/>
          <w:sz w:val="28"/>
          <w:szCs w:val="36"/>
          <w:lang w:val="en-US" w:eastAsia="zh-CN"/>
        </w:rPr>
        <w:t>解剖学、</w:t>
      </w:r>
      <w:r>
        <w:rPr>
          <w:rFonts w:hint="eastAsia" w:ascii="Times New Roman" w:hAnsi="Times New Roman" w:eastAsia="仿宋_GB2312" w:cs="Times New Roman"/>
          <w:sz w:val="28"/>
          <w:szCs w:val="36"/>
          <w:lang w:val="en-US" w:eastAsia="zh-CN"/>
        </w:rPr>
        <w:t>局部解剖学、</w:t>
      </w:r>
      <w:r>
        <w:rPr>
          <w:rFonts w:hint="default" w:ascii="Times New Roman" w:hAnsi="Times New Roman" w:eastAsia="仿宋_GB2312" w:cs="Times New Roman"/>
          <w:sz w:val="28"/>
          <w:szCs w:val="36"/>
          <w:lang w:val="en-US" w:eastAsia="zh-CN"/>
        </w:rPr>
        <w:t>组织胚胎学、</w:t>
      </w:r>
      <w:r>
        <w:rPr>
          <w:rFonts w:hint="eastAsia" w:ascii="Times New Roman" w:hAnsi="Times New Roman" w:eastAsia="仿宋_GB2312" w:cs="Times New Roman"/>
          <w:sz w:val="28"/>
          <w:szCs w:val="36"/>
          <w:lang w:val="en-US" w:eastAsia="zh-CN"/>
        </w:rPr>
        <w:t>医学</w:t>
      </w:r>
      <w:r>
        <w:rPr>
          <w:rFonts w:hint="default" w:ascii="Times New Roman" w:hAnsi="Times New Roman" w:eastAsia="仿宋_GB2312" w:cs="Times New Roman"/>
          <w:sz w:val="28"/>
          <w:szCs w:val="36"/>
          <w:lang w:val="en-US" w:eastAsia="zh-CN"/>
        </w:rPr>
        <w:t>细胞生物学、医学遗传学、生物化学</w:t>
      </w:r>
      <w:r>
        <w:rPr>
          <w:rFonts w:hint="eastAsia" w:ascii="Times New Roman" w:hAnsi="Times New Roman" w:eastAsia="仿宋_GB2312" w:cs="Times New Roman"/>
          <w:sz w:val="28"/>
          <w:szCs w:val="36"/>
          <w:lang w:val="en-US" w:eastAsia="zh-CN"/>
        </w:rPr>
        <w:t>、医学</w:t>
      </w:r>
      <w:r>
        <w:rPr>
          <w:rFonts w:hint="default" w:ascii="Times New Roman" w:hAnsi="Times New Roman" w:eastAsia="仿宋_GB2312" w:cs="Times New Roman"/>
          <w:sz w:val="28"/>
          <w:szCs w:val="36"/>
          <w:lang w:val="en-US" w:eastAsia="zh-CN"/>
        </w:rPr>
        <w:t>分子生物学、生理学、病原生物学、医学免疫学、病理学、药理学、病理生理学</w:t>
      </w:r>
      <w:r>
        <w:rPr>
          <w:rFonts w:hint="eastAsia" w:ascii="Times New Roman" w:hAnsi="Times New Roman" w:eastAsia="仿宋_GB2312" w:cs="Times New Roman"/>
          <w:sz w:val="28"/>
          <w:szCs w:val="36"/>
          <w:lang w:val="en-US" w:eastAsia="zh-CN"/>
        </w:rPr>
        <w:t>。</w:t>
      </w:r>
    </w:p>
    <w:p w14:paraId="60606BDA">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highlight w:val="none"/>
          <w:lang w:val="en-US" w:eastAsia="zh-CN"/>
        </w:rPr>
      </w:pPr>
      <w:r>
        <w:rPr>
          <w:rFonts w:hint="default" w:ascii="Times New Roman" w:hAnsi="Times New Roman" w:eastAsia="仿宋_GB2312" w:cs="Times New Roman"/>
          <w:b/>
          <w:bCs/>
          <w:sz w:val="28"/>
          <w:szCs w:val="36"/>
          <w:highlight w:val="none"/>
          <w:lang w:val="en-US" w:eastAsia="zh-CN"/>
        </w:rPr>
        <w:t>2. 公共卫生与预防医学课程</w:t>
      </w:r>
    </w:p>
    <w:p w14:paraId="79EF272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highlight w:val="none"/>
          <w:lang w:val="en-US" w:eastAsia="zh-CN"/>
        </w:rPr>
      </w:pPr>
      <w:r>
        <w:rPr>
          <w:rFonts w:hint="default" w:ascii="Times New Roman" w:hAnsi="Times New Roman" w:eastAsia="仿宋_GB2312" w:cs="Times New Roman"/>
          <w:sz w:val="28"/>
          <w:szCs w:val="36"/>
          <w:highlight w:val="none"/>
          <w:lang w:val="en-US" w:eastAsia="zh-CN"/>
        </w:rPr>
        <w:t>医学统计学、流行病学、</w:t>
      </w:r>
      <w:r>
        <w:rPr>
          <w:rFonts w:hint="eastAsia" w:ascii="Times New Roman" w:hAnsi="Times New Roman" w:eastAsia="仿宋_GB2312" w:cs="Times New Roman"/>
          <w:sz w:val="28"/>
          <w:szCs w:val="36"/>
          <w:highlight w:val="none"/>
          <w:lang w:val="en-US" w:eastAsia="zh-CN"/>
        </w:rPr>
        <w:t>预防医学、卫生法学、临床营养学</w:t>
      </w:r>
      <w:r>
        <w:rPr>
          <w:rFonts w:hint="default" w:ascii="Times New Roman" w:hAnsi="Times New Roman" w:eastAsia="仿宋_GB2312" w:cs="Times New Roman"/>
          <w:sz w:val="28"/>
          <w:szCs w:val="36"/>
          <w:highlight w:val="none"/>
          <w:lang w:val="en-US" w:eastAsia="zh-CN"/>
        </w:rPr>
        <w:t>、健康教育与</w:t>
      </w:r>
      <w:r>
        <w:rPr>
          <w:rFonts w:hint="eastAsia" w:ascii="Times New Roman" w:hAnsi="Times New Roman" w:eastAsia="仿宋_GB2312" w:cs="Times New Roman"/>
          <w:sz w:val="28"/>
          <w:szCs w:val="36"/>
          <w:highlight w:val="none"/>
          <w:lang w:val="en-US" w:eastAsia="zh-CN"/>
        </w:rPr>
        <w:t>管理</w:t>
      </w:r>
      <w:r>
        <w:rPr>
          <w:rFonts w:hint="default" w:ascii="Times New Roman" w:hAnsi="Times New Roman" w:eastAsia="仿宋_GB2312" w:cs="Times New Roman"/>
          <w:sz w:val="28"/>
          <w:szCs w:val="36"/>
          <w:highlight w:val="none"/>
          <w:lang w:val="en-US" w:eastAsia="zh-CN"/>
        </w:rPr>
        <w:t>。</w:t>
      </w:r>
    </w:p>
    <w:p w14:paraId="5D0ECAC8">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highlight w:val="none"/>
          <w:lang w:val="en-US" w:eastAsia="zh-CN"/>
        </w:rPr>
      </w:pPr>
      <w:r>
        <w:rPr>
          <w:rFonts w:hint="default" w:ascii="Times New Roman" w:hAnsi="Times New Roman" w:eastAsia="仿宋_GB2312" w:cs="Times New Roman"/>
          <w:b/>
          <w:bCs/>
          <w:sz w:val="28"/>
          <w:szCs w:val="36"/>
          <w:highlight w:val="none"/>
          <w:lang w:val="en-US" w:eastAsia="zh-CN"/>
        </w:rPr>
        <w:t>3. 临床医学课程</w:t>
      </w:r>
    </w:p>
    <w:p w14:paraId="4501867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highlight w:val="none"/>
          <w:lang w:val="en-US" w:eastAsia="zh-CN"/>
        </w:rPr>
      </w:pPr>
      <w:r>
        <w:rPr>
          <w:rFonts w:hint="default" w:ascii="Times New Roman" w:hAnsi="Times New Roman" w:eastAsia="仿宋_GB2312" w:cs="Times New Roman"/>
          <w:sz w:val="28"/>
          <w:szCs w:val="36"/>
          <w:highlight w:val="none"/>
          <w:lang w:val="en-US" w:eastAsia="zh-CN"/>
        </w:rPr>
        <w:t>诊断学、</w:t>
      </w:r>
      <w:r>
        <w:rPr>
          <w:rFonts w:hint="eastAsia" w:ascii="Times New Roman" w:hAnsi="Times New Roman" w:eastAsia="仿宋_GB2312" w:cs="Times New Roman"/>
          <w:sz w:val="28"/>
          <w:szCs w:val="36"/>
          <w:highlight w:val="none"/>
          <w:lang w:val="en-US" w:eastAsia="zh-CN"/>
        </w:rPr>
        <w:t>外科学总论、临床技能学、内科学、外科学、妇产科学、儿科学、精神病学、神经病学、传染病学、急救与灾难医学、眼科学、耳鼻喉头颈外科学、口腔科学、皮肤性病学、麻醉学、全科医学、医学影像学</w:t>
      </w:r>
      <w:r>
        <w:rPr>
          <w:rFonts w:hint="default" w:ascii="Times New Roman" w:hAnsi="Times New Roman" w:eastAsia="仿宋_GB2312" w:cs="Times New Roman"/>
          <w:sz w:val="28"/>
          <w:szCs w:val="36"/>
          <w:highlight w:val="none"/>
          <w:lang w:val="en-US" w:eastAsia="zh-CN"/>
        </w:rPr>
        <w:t>。</w:t>
      </w:r>
    </w:p>
    <w:p w14:paraId="12712952">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eastAsia" w:ascii="黑体" w:hAnsi="黑体" w:eastAsia="黑体" w:cs="黑体"/>
          <w:b w:val="0"/>
          <w:bCs w:val="0"/>
          <w:spacing w:val="-4"/>
          <w:kern w:val="2"/>
          <w:sz w:val="28"/>
          <w:szCs w:val="28"/>
          <w:lang w:val="en-US" w:eastAsia="zh-CN" w:bidi="ar-SA"/>
        </w:rPr>
        <w:t>五</w:t>
      </w:r>
      <w:r>
        <w:rPr>
          <w:rFonts w:hint="default" w:ascii="黑体" w:hAnsi="黑体" w:eastAsia="黑体" w:cs="黑体"/>
          <w:b w:val="0"/>
          <w:bCs w:val="0"/>
          <w:spacing w:val="-4"/>
          <w:kern w:val="2"/>
          <w:sz w:val="28"/>
          <w:szCs w:val="28"/>
          <w:lang w:val="en-US" w:eastAsia="zh-CN" w:bidi="ar-SA"/>
        </w:rPr>
        <w:t>、就业趋向</w:t>
      </w:r>
    </w:p>
    <w:p w14:paraId="5BE53E6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适应于在各级综合性医院、医院科研机构、医疗卫生机构、医学院校等部门从事临床医疗、科学研究及卫生教育、管理、预防、保健、康复等工作及考研深造。</w:t>
      </w:r>
    </w:p>
    <w:p w14:paraId="5735773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p>
    <w:p w14:paraId="443B89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bookmarkStart w:id="0" w:name="_GoBack"/>
      <w:bookmarkEnd w:id="0"/>
    </w:p>
    <w:p w14:paraId="1FC1ACC5">
      <w:pPr>
        <w:numPr>
          <w:ilvl w:val="0"/>
          <w:numId w:val="0"/>
        </w:numPr>
        <w:spacing w:before="155" w:line="204" w:lineRule="auto"/>
        <w:jc w:val="center"/>
        <w:outlineLvl w:val="0"/>
        <w:rPr>
          <w:rFonts w:hint="default" w:ascii="Times New Roman" w:hAnsi="Times New Roman" w:eastAsia="仿宋_GB2312" w:cs="Times New Roman"/>
          <w:sz w:val="28"/>
          <w:szCs w:val="36"/>
          <w:lang w:val="en-US" w:eastAsia="zh-CN"/>
        </w:rPr>
      </w:pPr>
      <w:r>
        <w:rPr>
          <w:rFonts w:hint="default" w:ascii="方正小标宋简体" w:hAnsi="方正小标宋简体" w:eastAsia="方正小标宋简体" w:cs="方正小标宋简体"/>
          <w:spacing w:val="-1"/>
          <w:kern w:val="2"/>
          <w:sz w:val="36"/>
          <w:szCs w:val="36"/>
          <w:lang w:val="en-US" w:eastAsia="zh-CN" w:bidi="ar-SA"/>
        </w:rPr>
        <w:t>第</w:t>
      </w:r>
      <w:r>
        <w:rPr>
          <w:rFonts w:hint="eastAsia" w:ascii="方正小标宋简体" w:hAnsi="方正小标宋简体" w:eastAsia="方正小标宋简体" w:cs="方正小标宋简体"/>
          <w:spacing w:val="-1"/>
          <w:kern w:val="2"/>
          <w:sz w:val="36"/>
          <w:szCs w:val="36"/>
          <w:lang w:val="en-US" w:eastAsia="zh-CN" w:bidi="ar-SA"/>
        </w:rPr>
        <w:t>三</w:t>
      </w:r>
      <w:r>
        <w:rPr>
          <w:rFonts w:hint="default" w:ascii="方正小标宋简体" w:hAnsi="方正小标宋简体" w:eastAsia="方正小标宋简体" w:cs="方正小标宋简体"/>
          <w:spacing w:val="-1"/>
          <w:kern w:val="2"/>
          <w:sz w:val="36"/>
          <w:szCs w:val="36"/>
          <w:lang w:val="en-US" w:eastAsia="zh-CN" w:bidi="ar-SA"/>
        </w:rPr>
        <w:t>部分    临床医学专业认证知识</w:t>
      </w:r>
    </w:p>
    <w:p w14:paraId="7D96E5F8">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一、医学教育认证的概念</w:t>
      </w:r>
    </w:p>
    <w:p w14:paraId="2A307986">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1.高等教育认证的含义</w:t>
      </w:r>
    </w:p>
    <w:p w14:paraId="3517DE7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高等教育认证是高等教育外部质量保证的一种途径，是由指定的专门机构采用一套程序和标准对医学院校（院校）或教育项目（专业）进行审核与评价，判断其是否达到既定的教育质量标准，并协助院校和专业进一步改进教育质量的过程。</w:t>
      </w:r>
    </w:p>
    <w:p w14:paraId="405C3E27">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2.高等教育认证的组成</w:t>
      </w:r>
    </w:p>
    <w:p w14:paraId="401B417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高等教育认证制度由院校认证和专业认证两部分构成，两者的区别在于认证的主体和认证的对象。院校认证由地区性或全国性认证协会把高校作为一个整体来认证，是为了评判整所院校的教育质量；而专业认证是由专业协会对培养专业人才的教育计划进行认证，评估高等院校所开设的某种专业是否符合预先制定的基本标准，为进入专门职业工作的预备教育提供质量保证。</w:t>
      </w:r>
    </w:p>
    <w:p w14:paraId="23724C6E">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3.医学专业认证的含义</w:t>
      </w:r>
    </w:p>
    <w:p w14:paraId="1CD1127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专业认证特指医学行业的专门协会和医学专业领域的教育工作者一起对医学领域的相关专业进行的质量评价，以保证从业人员进入医学行业所达到的最基本要求，并能根据医学教育的基本规律和国际发展趋势逐步改进。</w:t>
      </w:r>
    </w:p>
    <w:p w14:paraId="4D7AAE42">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二、医学教育认证的基本要素</w:t>
      </w:r>
    </w:p>
    <w:p w14:paraId="6C2E512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认证机构、认证标准、认证程序是认证不可缺少的三个要素。</w:t>
      </w:r>
    </w:p>
    <w:p w14:paraId="75C760F3">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1.认证机构</w:t>
      </w:r>
    </w:p>
    <w:p w14:paraId="50A4586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认证机构作为认证的主体，认证机构可以是政府设立的专门机构，也可以是非官方独立团体，主要发挥外部审核和评估的作用。截至 2023 年 5 月，世界上共有128 个国家/地区设立了医学教育认证机构(184 个) ，但不同国家的认证机构在性质、职责、目的、运行方式等方面差异很大。</w:t>
      </w:r>
    </w:p>
    <w:p w14:paraId="78D08E26">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2.认证标准</w:t>
      </w:r>
    </w:p>
    <w:p w14:paraId="2542F0E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认证标准是医学教育质量要求的基本规定，也是医学教育认证、评价的参照体系。由于医学教育认证的地域范围、理念以及传统等因素的不同，世界各国的医学</w:t>
      </w:r>
    </w:p>
    <w:p w14:paraId="619AFA7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教育认证标准也不尽相同，但大体都涵盖了医学教育全过程，包括培养目标、课程设置、教育资源、学生、师资队伍、教育管理和未来发展规划等方面。</w:t>
      </w:r>
    </w:p>
    <w:p w14:paraId="10F6BE7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标准的确立并非意味着教育计划和内容的严格划一，而是以承认地区之间和国家之间的差别、尊重每个医学院校的特点和不同发展状况、尊重其合理的自主权为宗旨。因此各医学院校在遵守医学教育的基本规律的总体原则下，有足够的空间和自由度来展现自身特色。为鼓励医学院校进行持续改进，国际标准不仅设定最基本的要求，还为超越基本标准的质量发展设立了参照。</w:t>
      </w:r>
    </w:p>
    <w:p w14:paraId="161E4E4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2" w:firstLineChars="200"/>
        <w:jc w:val="both"/>
        <w:textAlignment w:val="auto"/>
        <w:rPr>
          <w:rFonts w:hint="eastAsia" w:ascii="Times New Roman" w:hAnsi="Times New Roman" w:eastAsia="仿宋_GB2312" w:cs="Times New Roman"/>
          <w:b/>
          <w:bCs/>
          <w:sz w:val="28"/>
          <w:szCs w:val="36"/>
          <w:lang w:val="en-US" w:eastAsia="zh-CN"/>
        </w:rPr>
      </w:pPr>
      <w:r>
        <w:rPr>
          <w:rFonts w:hint="eastAsia" w:ascii="Times New Roman" w:hAnsi="Times New Roman" w:eastAsia="仿宋_GB2312" w:cs="Times New Roman"/>
          <w:b/>
          <w:bCs/>
          <w:sz w:val="28"/>
          <w:szCs w:val="36"/>
          <w:lang w:val="en-US" w:eastAsia="zh-CN"/>
        </w:rPr>
        <w:t>认证程序</w:t>
      </w:r>
    </w:p>
    <w:p w14:paraId="08CA145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b/>
          <w:bCs/>
          <w:sz w:val="28"/>
          <w:szCs w:val="36"/>
          <w:lang w:val="en-US" w:eastAsia="zh-CN"/>
        </w:rPr>
      </w:pPr>
      <w:r>
        <w:rPr>
          <w:rFonts w:hint="eastAsia" w:ascii="Times New Roman" w:hAnsi="Times New Roman" w:eastAsia="仿宋_GB2312" w:cs="Times New Roman"/>
          <w:sz w:val="28"/>
          <w:szCs w:val="36"/>
          <w:lang w:val="en-US" w:eastAsia="zh-CN"/>
        </w:rPr>
        <w:t>虽然不同国家、地区和机构的认证程序各有特色并存在一定差异，但主要过程是极为相似的，基本上都</w:t>
      </w:r>
      <w:r>
        <w:rPr>
          <w:rFonts w:hint="default" w:ascii="Times New Roman" w:hAnsi="Times New Roman" w:eastAsia="仿宋_GB2312" w:cs="Times New Roman"/>
          <w:sz w:val="28"/>
          <w:szCs w:val="36"/>
          <w:lang w:val="en-US" w:eastAsia="zh-CN"/>
        </w:rPr>
        <w:t>遵循</w:t>
      </w:r>
      <w:r>
        <w:rPr>
          <w:rFonts w:hint="eastAsia" w:ascii="Times New Roman" w:hAnsi="Times New Roman" w:eastAsia="仿宋_GB2312" w:cs="Times New Roman"/>
          <w:sz w:val="28"/>
          <w:szCs w:val="36"/>
          <w:lang w:val="en-US" w:eastAsia="zh-CN"/>
        </w:rPr>
        <w:t>：医学院校提出</w:t>
      </w:r>
      <w:r>
        <w:rPr>
          <w:rFonts w:hint="default" w:ascii="Times New Roman" w:hAnsi="Times New Roman" w:eastAsia="仿宋_GB2312" w:cs="Times New Roman"/>
          <w:sz w:val="28"/>
          <w:szCs w:val="36"/>
          <w:lang w:val="en-US" w:eastAsia="zh-CN"/>
        </w:rPr>
        <w:t>认证申请→认证机构与医学院校协商确定考察时间→医学院校进行自我评估并提交自评报告→认证机构派遣专家组现场考察→认证专家组提交认证报告和结论建议→认证机构审核、确定认证结论并公布→ 认证有效期内医学院校改进并提交进展报告/综合报告 →下一轮认证申请”等一系列程序。</w:t>
      </w:r>
    </w:p>
    <w:p w14:paraId="239D6664">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三、临床医学专业认证</w:t>
      </w:r>
    </w:p>
    <w:p w14:paraId="73617E8D">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1. 什么是临床医学专业认证？</w:t>
      </w:r>
    </w:p>
    <w:p w14:paraId="391535A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教育部临床医学专业认证专家委员会指导下，由工作委员会组织对受评学校临床医学专业进行审核与评估的外部质量评价机制，其目的在于评判该校临床医学专业是否达到国家标准，同时鼓励学校不断改进与完善，从而促进该专业教育质量的不断提高。</w:t>
      </w:r>
    </w:p>
    <w:p w14:paraId="44B9627F">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2.目前我国已经开展的医学专业认证有哪些？</w:t>
      </w:r>
    </w:p>
    <w:p w14:paraId="287C4D4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目前我国临床医学、护理学、中医学、 口腔医学、临床药学等专业已经开展了专业认证工作，分别由相关工作委员会或教学指导委员会负责实施。</w:t>
      </w:r>
    </w:p>
    <w:p w14:paraId="347AA2E4">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3.临床医学专业认证的标准是什么？</w:t>
      </w:r>
    </w:p>
    <w:p w14:paraId="00B6267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标准适用于临床医学专业本科教育阶段，主要包含了对毕业生应达到的基本要求和临床医学专业本科医学教育办学标准。</w:t>
      </w:r>
    </w:p>
    <w:p w14:paraId="38C292E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2002 年，教育部委托中国高等教育学会医学教育专业委员会组建了“中国医学教育质量保证体系研究 ”课题组。该课题组研究拟订了《本科医学教育标准—临床医学专业（试行）》。2008 年，教育部、原卫生部联合颁布了此标准，并将其作为我国临床医学专业认证的依据。</w:t>
      </w:r>
    </w:p>
    <w:p w14:paraId="2645287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2014 年，教育部医学教育研究基地成立了“中国临床医学专业认证实施战略研究 ”课题组。课题组根据国际医学教育发展趋势，并结合十年来积累的认证经验，对 2008 版《标准》进行了全面修订，形成了《中国本科医学教育标准—临床医学专业（2016 版）》。2016版《标准》在保留2008 版《标准》适用内容的基础上，主要依据 WFME 的《本科医学教育质量改进全球标准（2012 版）》，同时兼顾我国的文化传统、教育体制和教育资源等因素进行了修订。</w:t>
      </w:r>
    </w:p>
    <w:p w14:paraId="1F4EBA5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2021 年，为保证医学教育标准的与时俱进，更好地推进新一轮本科临床医学专业认证实践，工作委员会总结我国本科临床医学专业认证的有益经验，及时引进医学教育最新理念，启动对 2016 版《标准》的修订工作，形成《中国本科医学教育标准—临床医学专业（2022版）》，作为当前我国临床医学专业认证的依据。</w:t>
      </w:r>
    </w:p>
    <w:p w14:paraId="169821E1">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eastAsia" w:ascii="Times New Roman" w:hAnsi="Times New Roman" w:eastAsia="仿宋_GB2312" w:cs="Times New Roman"/>
          <w:b/>
          <w:bCs/>
          <w:sz w:val="28"/>
          <w:szCs w:val="36"/>
          <w:lang w:val="en-US" w:eastAsia="zh-CN"/>
        </w:rPr>
        <w:t>4</w:t>
      </w:r>
      <w:r>
        <w:rPr>
          <w:rFonts w:hint="default" w:ascii="Times New Roman" w:hAnsi="Times New Roman" w:eastAsia="仿宋_GB2312" w:cs="Times New Roman"/>
          <w:b/>
          <w:bCs/>
          <w:sz w:val="28"/>
          <w:szCs w:val="36"/>
          <w:lang w:val="en-US" w:eastAsia="zh-CN"/>
        </w:rPr>
        <w:t>.临床医学专业认证的认证机构是什么？</w:t>
      </w:r>
    </w:p>
    <w:p w14:paraId="5EA9655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2008 年，教育部成立教育部临床医学专业认证工作委员会，负责组织开展全国临床医学专业认证工作。工作委员会下设秘书处，处理日常事务。新一届临床医学专业认证工作委员会于 2018 年 11 月成立。工作委员会的主要职责包括：制定和完善我国临床医学专业认证标准及认证办法；组织开展临床医学专业认证工作；开展有关临床医学专业认证的国际交流与合作；开展临床医学专业认证相关研究；指导学校和认证专家的临床医学专业认证工作；承办教育部委托的有关事宜。</w:t>
      </w:r>
    </w:p>
    <w:p w14:paraId="4FCFC453">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eastAsia" w:ascii="Times New Roman" w:hAnsi="Times New Roman" w:eastAsia="仿宋_GB2312" w:cs="Times New Roman"/>
          <w:b/>
          <w:bCs/>
          <w:sz w:val="28"/>
          <w:szCs w:val="36"/>
          <w:lang w:val="en-US" w:eastAsia="zh-CN"/>
        </w:rPr>
        <w:t>5</w:t>
      </w:r>
      <w:r>
        <w:rPr>
          <w:rFonts w:hint="default" w:ascii="Times New Roman" w:hAnsi="Times New Roman" w:eastAsia="仿宋_GB2312" w:cs="Times New Roman"/>
          <w:b/>
          <w:bCs/>
          <w:sz w:val="28"/>
          <w:szCs w:val="36"/>
          <w:lang w:val="en-US" w:eastAsia="zh-CN"/>
        </w:rPr>
        <w:t>.临床医学专业认证专家库的组成是怎样的？</w:t>
      </w:r>
    </w:p>
    <w:p w14:paraId="5DD2DE4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认证专家库的组成以工作委员会成员为基础，并接受医学教育相关方推荐。通过十余年来不断的实践与积累，工作委员会逐渐建立了专业背景、人员结构配置相对合理的临床医学专业认证专家库。截至 2023 年 8 月，认证专家库的人数约300 人，包括数十名外籍专家。工作委员会通过培训、研讨和在认证实践中交流学习等方式为认证专家提供交流和研讨认证工作的平台，既保证了专家整体水平，又促进了先进医学教育理念的传播。</w:t>
      </w:r>
    </w:p>
    <w:p w14:paraId="37554941">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四、我国有多少所院校通过了临床医学专业认证</w:t>
      </w:r>
    </w:p>
    <w:p w14:paraId="0463ECC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截止 2024 年 12 月，我国完成了对 134 所（154 校次）医学院校临床医学专业认证，其中 19 所院校邀请了外籍专家参与认证现场考察工作。</w:t>
      </w:r>
    </w:p>
    <w:p w14:paraId="78214648">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五、教育部临床专业认证工作委员会是否通过国际认证</w:t>
      </w:r>
    </w:p>
    <w:p w14:paraId="0F4636D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教育部临床医学专业认证工作委员会已于 2020 年6 月正式通过 WFME（世界医学教育联合会）机构认定，有效期 10 年。</w:t>
      </w:r>
    </w:p>
    <w:p w14:paraId="243A4792">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六、现场考察的工作时间一般为多长时间</w:t>
      </w:r>
    </w:p>
    <w:p w14:paraId="6FBE6A4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3—5 天，可根据具体情况适当延长。</w:t>
      </w:r>
    </w:p>
    <w:p w14:paraId="77A731AB">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七、现场考察包括哪些内容</w:t>
      </w:r>
    </w:p>
    <w:p w14:paraId="6D73182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院（校）长报告：一般不超过 30 分钟；</w:t>
      </w:r>
    </w:p>
    <w:p w14:paraId="563A915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座谈会：包括各级学术和管理委员会、院校管理人员、教师、学生、广泛利益方代表；</w:t>
      </w:r>
    </w:p>
    <w:p w14:paraId="43AEF29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教学观摩：理论授课、教学查房、实验课、PBL教学；</w:t>
      </w:r>
    </w:p>
    <w:p w14:paraId="5B9467B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现场走访：如各学院、直属附属医院、学系、教研室、实验室、教学或研究中心、教学医院、社区卫生中心等基地相关部门；</w:t>
      </w:r>
    </w:p>
    <w:p w14:paraId="6D34CF4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教学相关资料查阅；</w:t>
      </w:r>
    </w:p>
    <w:p w14:paraId="24FFA30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认证意见反馈：认证专家组在充分走访与观察的基础上，给予初步认证报告和反馈意见。</w:t>
      </w:r>
    </w:p>
    <w:p w14:paraId="72271086">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八、临床医学专业认证有哪几种结论</w:t>
      </w:r>
    </w:p>
    <w:p w14:paraId="391C370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有认证结论分为通过认证（有效期 6 年，自审议通过之日起计算）和不予认证（限期整改，重新申请认证，不少于 2 年）。工作委员会将认证结论报教育部教育质量评估中心并联合公示，公示期为 10 个工作日。认证结论经公示后，向社会公布认证结论并以书面形式通知被认证学校。</w:t>
      </w:r>
    </w:p>
    <w:p w14:paraId="7AAD9D60">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九、教育部临床医学专业认证专家组进入我校进行临床医学专业认证考察时间</w:t>
      </w:r>
    </w:p>
    <w:p w14:paraId="01DB955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202</w:t>
      </w:r>
      <w:r>
        <w:rPr>
          <w:rFonts w:hint="eastAsia" w:ascii="Times New Roman" w:hAnsi="Times New Roman" w:eastAsia="仿宋_GB2312" w:cs="Times New Roman"/>
          <w:sz w:val="28"/>
          <w:szCs w:val="36"/>
          <w:lang w:val="en-US" w:eastAsia="zh-CN"/>
        </w:rPr>
        <w:t>6</w:t>
      </w:r>
      <w:r>
        <w:rPr>
          <w:rFonts w:hint="default" w:ascii="Times New Roman" w:hAnsi="Times New Roman" w:eastAsia="仿宋_GB2312" w:cs="Times New Roman"/>
          <w:sz w:val="28"/>
          <w:szCs w:val="36"/>
          <w:lang w:val="en-US" w:eastAsia="zh-CN"/>
        </w:rPr>
        <w:t xml:space="preserve"> 年 9 月。</w:t>
      </w:r>
    </w:p>
    <w:p w14:paraId="5070A687">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十、医学院临床医学专业认证专题在官网哪个位置</w:t>
      </w:r>
    </w:p>
    <w:p w14:paraId="771A305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sz w:val="28"/>
          <w:szCs w:val="36"/>
          <w:lang w:val="en-US" w:eastAsia="zh-CN"/>
        </w:rPr>
        <w:t>豫北医学院</w:t>
      </w:r>
      <w:r>
        <w:rPr>
          <w:rFonts w:hint="default" w:ascii="Times New Roman" w:hAnsi="Times New Roman" w:eastAsia="仿宋_GB2312" w:cs="Times New Roman"/>
          <w:sz w:val="28"/>
          <w:szCs w:val="36"/>
          <w:lang w:val="en-US" w:eastAsia="zh-CN"/>
        </w:rPr>
        <w:t xml:space="preserve"> - </w:t>
      </w:r>
      <w:r>
        <w:rPr>
          <w:rFonts w:hint="eastAsia" w:ascii="Times New Roman" w:hAnsi="Times New Roman" w:eastAsia="仿宋_GB2312" w:cs="Times New Roman"/>
          <w:sz w:val="28"/>
          <w:szCs w:val="36"/>
          <w:lang w:val="en-US" w:eastAsia="zh-CN"/>
        </w:rPr>
        <w:t>专题专栏</w:t>
      </w:r>
      <w:r>
        <w:rPr>
          <w:rFonts w:hint="default" w:ascii="Times New Roman" w:hAnsi="Times New Roman" w:eastAsia="仿宋_GB2312" w:cs="Times New Roman"/>
          <w:sz w:val="28"/>
          <w:szCs w:val="36"/>
          <w:lang w:val="en-US" w:eastAsia="zh-CN"/>
        </w:rPr>
        <w:t xml:space="preserve">- </w:t>
      </w:r>
      <w:r>
        <w:rPr>
          <w:rFonts w:hint="eastAsia" w:ascii="Times New Roman" w:hAnsi="Times New Roman" w:eastAsia="仿宋_GB2312" w:cs="Times New Roman"/>
          <w:sz w:val="28"/>
          <w:szCs w:val="36"/>
          <w:lang w:val="en-US" w:eastAsia="zh-CN"/>
        </w:rPr>
        <w:t>临床医学专业认证</w:t>
      </w:r>
      <w:r>
        <w:rPr>
          <w:rFonts w:hint="default" w:ascii="Times New Roman" w:hAnsi="Times New Roman" w:eastAsia="仿宋_GB2312" w:cs="Times New Roman"/>
          <w:sz w:val="28"/>
          <w:szCs w:val="36"/>
          <w:lang w:val="en-US" w:eastAsia="zh-CN"/>
        </w:rPr>
        <w:t>（https://lcrz.nhmu.edu.cn/）</w:t>
      </w:r>
    </w:p>
    <w:p w14:paraId="4B914797">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十一、专业认证与本科教学审核评估的区别</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3842"/>
        <w:gridCol w:w="3581"/>
      </w:tblGrid>
      <w:tr w14:paraId="538D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tcPr>
          <w:p w14:paraId="2FDF52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28"/>
                <w:szCs w:val="36"/>
                <w:vertAlign w:val="baseline"/>
                <w:lang w:val="en-US" w:eastAsia="zh-CN"/>
              </w:rPr>
            </w:pPr>
          </w:p>
        </w:tc>
        <w:tc>
          <w:tcPr>
            <w:tcW w:w="3842" w:type="dxa"/>
          </w:tcPr>
          <w:p w14:paraId="4FC261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28"/>
                <w:szCs w:val="36"/>
                <w:vertAlign w:val="baseline"/>
                <w:lang w:val="en-US" w:eastAsia="zh-CN"/>
              </w:rPr>
            </w:pPr>
            <w:r>
              <w:rPr>
                <w:rFonts w:hint="default" w:ascii="Times New Roman" w:hAnsi="Times New Roman" w:eastAsia="仿宋_GB2312" w:cs="Times New Roman"/>
                <w:b/>
                <w:bCs/>
                <w:sz w:val="28"/>
                <w:szCs w:val="36"/>
                <w:lang w:val="en-US" w:eastAsia="zh-CN"/>
              </w:rPr>
              <w:t>专业认证</w:t>
            </w:r>
          </w:p>
        </w:tc>
        <w:tc>
          <w:tcPr>
            <w:tcW w:w="3581" w:type="dxa"/>
          </w:tcPr>
          <w:p w14:paraId="7E1496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28"/>
                <w:szCs w:val="36"/>
                <w:vertAlign w:val="baseline"/>
                <w:lang w:val="en-US" w:eastAsia="zh-CN"/>
              </w:rPr>
            </w:pPr>
            <w:r>
              <w:rPr>
                <w:rFonts w:hint="default" w:ascii="Times New Roman" w:hAnsi="Times New Roman" w:eastAsia="仿宋_GB2312" w:cs="Times New Roman"/>
                <w:b/>
                <w:bCs/>
                <w:sz w:val="28"/>
                <w:szCs w:val="36"/>
                <w:lang w:val="en-US" w:eastAsia="zh-CN"/>
              </w:rPr>
              <w:tab/>
            </w:r>
            <w:r>
              <w:rPr>
                <w:rFonts w:hint="default" w:ascii="Times New Roman" w:hAnsi="Times New Roman" w:eastAsia="仿宋_GB2312" w:cs="Times New Roman"/>
                <w:b/>
                <w:bCs/>
                <w:sz w:val="28"/>
                <w:szCs w:val="36"/>
                <w:lang w:val="en-US" w:eastAsia="zh-CN"/>
              </w:rPr>
              <w:t>审核评估</w:t>
            </w:r>
          </w:p>
        </w:tc>
      </w:tr>
      <w:tr w14:paraId="7E9F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tcPr>
          <w:p w14:paraId="4366261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目的</w:t>
            </w:r>
          </w:p>
        </w:tc>
        <w:tc>
          <w:tcPr>
            <w:tcW w:w="3842" w:type="dxa"/>
          </w:tcPr>
          <w:p w14:paraId="3CDF77B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帮助被认证学校查找医学教育存在的不足，明确改革方向</w:t>
            </w:r>
          </w:p>
        </w:tc>
        <w:tc>
          <w:tcPr>
            <w:tcW w:w="3581" w:type="dxa"/>
          </w:tcPr>
          <w:p w14:paraId="4F008AF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改善学校办学条件，提高教育质量</w:t>
            </w:r>
          </w:p>
        </w:tc>
      </w:tr>
      <w:tr w14:paraId="6A81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99" w:type="dxa"/>
          </w:tcPr>
          <w:p w14:paraId="54D04AB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对象</w:t>
            </w:r>
          </w:p>
        </w:tc>
        <w:tc>
          <w:tcPr>
            <w:tcW w:w="3842" w:type="dxa"/>
          </w:tcPr>
          <w:p w14:paraId="5EB400E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专业</w:t>
            </w:r>
          </w:p>
        </w:tc>
        <w:tc>
          <w:tcPr>
            <w:tcW w:w="3581" w:type="dxa"/>
          </w:tcPr>
          <w:p w14:paraId="7695EC7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学校</w:t>
            </w:r>
          </w:p>
        </w:tc>
      </w:tr>
      <w:tr w14:paraId="6B22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99" w:type="dxa"/>
          </w:tcPr>
          <w:p w14:paraId="42F8FCB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性质</w:t>
            </w:r>
          </w:p>
        </w:tc>
        <w:tc>
          <w:tcPr>
            <w:tcW w:w="3842" w:type="dxa"/>
          </w:tcPr>
          <w:p w14:paraId="5D80FBB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办学专业资质的评价</w:t>
            </w:r>
          </w:p>
        </w:tc>
        <w:tc>
          <w:tcPr>
            <w:tcW w:w="3581" w:type="dxa"/>
          </w:tcPr>
          <w:p w14:paraId="33AA936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办学水平的评价</w:t>
            </w:r>
          </w:p>
        </w:tc>
      </w:tr>
      <w:tr w14:paraId="4DA9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99" w:type="dxa"/>
          </w:tcPr>
          <w:p w14:paraId="295A66C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内容</w:t>
            </w:r>
          </w:p>
        </w:tc>
        <w:tc>
          <w:tcPr>
            <w:tcW w:w="3842" w:type="dxa"/>
          </w:tcPr>
          <w:p w14:paraId="1C5C869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硬件是办学必备的条件，软件是认证检查的重点，学生质量 是终极控制着眼点；不仅对所 接受的教育情况全过程进行考</w:t>
            </w:r>
          </w:p>
        </w:tc>
        <w:tc>
          <w:tcPr>
            <w:tcW w:w="3581" w:type="dxa"/>
          </w:tcPr>
          <w:p w14:paraId="45EAEC3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对教学设施、教学仪器设备、师资队伍的办学 硬件有规模和数量上的要求，重视硬件的达标查，而且特别注重对学校输出结果----毕业生实际掌握的技能进行考察评价</w:t>
            </w:r>
            <w:r>
              <w:rPr>
                <w:rFonts w:hint="default" w:ascii="Times New Roman" w:hAnsi="Times New Roman" w:eastAsia="仿宋_GB2312" w:cs="Times New Roman"/>
                <w:sz w:val="28"/>
                <w:szCs w:val="36"/>
                <w:lang w:val="en-US" w:eastAsia="zh-CN"/>
              </w:rPr>
              <w:tab/>
            </w:r>
          </w:p>
        </w:tc>
      </w:tr>
      <w:tr w14:paraId="4099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099" w:type="dxa"/>
          </w:tcPr>
          <w:p w14:paraId="2E28BD9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手段</w:t>
            </w:r>
          </w:p>
        </w:tc>
        <w:tc>
          <w:tcPr>
            <w:tcW w:w="3842" w:type="dxa"/>
          </w:tcPr>
          <w:p w14:paraId="14FA89D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强调各层次的座谈会</w:t>
            </w:r>
          </w:p>
        </w:tc>
        <w:tc>
          <w:tcPr>
            <w:tcW w:w="3581" w:type="dxa"/>
          </w:tcPr>
          <w:p w14:paraId="11A67D7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强调查阅资料</w:t>
            </w:r>
          </w:p>
        </w:tc>
      </w:tr>
      <w:tr w14:paraId="0C1C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tcPr>
          <w:p w14:paraId="5444498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结论</w:t>
            </w:r>
          </w:p>
        </w:tc>
        <w:tc>
          <w:tcPr>
            <w:tcW w:w="3842" w:type="dxa"/>
          </w:tcPr>
          <w:p w14:paraId="28575FE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r>
              <w:rPr>
                <w:rFonts w:hint="default" w:ascii="Times New Roman" w:hAnsi="Times New Roman" w:eastAsia="仿宋_GB2312" w:cs="Times New Roman"/>
                <w:sz w:val="28"/>
                <w:szCs w:val="36"/>
                <w:lang w:val="en-US" w:eastAsia="zh-CN"/>
              </w:rPr>
              <w:t>只给出的是专业是否符合认证标准的评价，通常分为完全 认证、有条件认证、不予认证。</w:t>
            </w:r>
          </w:p>
        </w:tc>
        <w:tc>
          <w:tcPr>
            <w:tcW w:w="3581" w:type="dxa"/>
          </w:tcPr>
          <w:p w14:paraId="67300D6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优秀、良好、合格、不合格。</w:t>
            </w:r>
          </w:p>
          <w:p w14:paraId="33DC58A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sz w:val="28"/>
                <w:szCs w:val="36"/>
                <w:vertAlign w:val="baseline"/>
                <w:lang w:val="en-US" w:eastAsia="zh-CN"/>
              </w:rPr>
            </w:pPr>
          </w:p>
        </w:tc>
      </w:tr>
    </w:tbl>
    <w:p w14:paraId="60E85A1C">
      <w:pPr>
        <w:numPr>
          <w:ilvl w:val="0"/>
          <w:numId w:val="0"/>
        </w:numPr>
        <w:spacing w:before="78" w:line="360" w:lineRule="auto"/>
        <w:ind w:left="4" w:leftChars="0" w:firstLine="544" w:firstLineChars="200"/>
        <w:outlineLvl w:val="1"/>
        <w:rPr>
          <w:rFonts w:hint="default" w:ascii="Times New Roman" w:hAnsi="Times New Roman" w:eastAsia="仿宋_GB2312" w:cs="Times New Roman"/>
          <w:sz w:val="28"/>
          <w:szCs w:val="36"/>
          <w:lang w:val="en-US" w:eastAsia="zh-CN"/>
        </w:rPr>
      </w:pPr>
      <w:r>
        <w:rPr>
          <w:rFonts w:hint="eastAsia" w:ascii="黑体" w:hAnsi="黑体" w:eastAsia="黑体" w:cs="黑体"/>
          <w:b w:val="0"/>
          <w:bCs w:val="0"/>
          <w:spacing w:val="-4"/>
          <w:kern w:val="2"/>
          <w:sz w:val="28"/>
          <w:szCs w:val="28"/>
          <w:lang w:val="en-US" w:eastAsia="zh-CN" w:bidi="ar-SA"/>
        </w:rPr>
        <w:t>十二、中国本科临床医学专业教育的办学标准的关注要点</w:t>
      </w:r>
      <w:r>
        <w:rPr>
          <w:rFonts w:hint="default" w:ascii="Times New Roman" w:hAnsi="Times New Roman" w:eastAsia="仿宋_GB2312" w:cs="Times New Roman"/>
          <w:sz w:val="28"/>
          <w:szCs w:val="36"/>
          <w:lang w:val="en-US" w:eastAsia="zh-CN"/>
        </w:rPr>
        <w:tab/>
      </w:r>
    </w:p>
    <w:tbl>
      <w:tblPr>
        <w:tblStyle w:val="9"/>
        <w:tblW w:w="8335" w:type="dxa"/>
        <w:tblInd w:w="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3246"/>
        <w:gridCol w:w="4151"/>
      </w:tblGrid>
      <w:tr w14:paraId="5BF4E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38" w:type="dxa"/>
            <w:vAlign w:val="top"/>
          </w:tcPr>
          <w:p w14:paraId="46E6902D">
            <w:pPr>
              <w:pStyle w:val="8"/>
              <w:keepNext w:val="0"/>
              <w:keepLines w:val="0"/>
              <w:pageBreakBefore w:val="0"/>
              <w:widowControl w:val="0"/>
              <w:kinsoku/>
              <w:wordWrap/>
              <w:overflowPunct/>
              <w:topLinePunct w:val="0"/>
              <w:autoSpaceDE/>
              <w:autoSpaceDN/>
              <w:bidi w:val="0"/>
              <w:adjustRightInd w:val="0"/>
              <w:snapToGrid w:val="0"/>
              <w:spacing w:before="93" w:line="240" w:lineRule="auto"/>
              <w:ind w:left="164"/>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一级</w:t>
            </w:r>
          </w:p>
          <w:p w14:paraId="6F3F7040">
            <w:pPr>
              <w:pStyle w:val="8"/>
              <w:keepNext w:val="0"/>
              <w:keepLines w:val="0"/>
              <w:pageBreakBefore w:val="0"/>
              <w:widowControl w:val="0"/>
              <w:kinsoku/>
              <w:wordWrap/>
              <w:overflowPunct/>
              <w:topLinePunct w:val="0"/>
              <w:autoSpaceDE/>
              <w:autoSpaceDN/>
              <w:bidi w:val="0"/>
              <w:adjustRightInd w:val="0"/>
              <w:snapToGrid w:val="0"/>
              <w:spacing w:before="58" w:line="240" w:lineRule="auto"/>
              <w:ind w:left="164"/>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指标</w:t>
            </w:r>
          </w:p>
        </w:tc>
        <w:tc>
          <w:tcPr>
            <w:tcW w:w="3246" w:type="dxa"/>
            <w:vAlign w:val="top"/>
          </w:tcPr>
          <w:p w14:paraId="6A829532">
            <w:pPr>
              <w:pStyle w:val="8"/>
              <w:spacing w:before="260" w:line="220" w:lineRule="auto"/>
              <w:ind w:left="773"/>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二级指标</w:t>
            </w:r>
          </w:p>
        </w:tc>
        <w:tc>
          <w:tcPr>
            <w:tcW w:w="4151" w:type="dxa"/>
            <w:vAlign w:val="top"/>
          </w:tcPr>
          <w:p w14:paraId="6A56BFBD">
            <w:pPr>
              <w:pStyle w:val="8"/>
              <w:spacing w:before="260" w:line="220" w:lineRule="auto"/>
              <w:ind w:left="1007"/>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关注要点</w:t>
            </w:r>
          </w:p>
        </w:tc>
      </w:tr>
      <w:tr w14:paraId="078BA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38" w:type="dxa"/>
            <w:vMerge w:val="restart"/>
            <w:tcBorders>
              <w:bottom w:val="nil"/>
            </w:tcBorders>
            <w:vAlign w:val="top"/>
          </w:tcPr>
          <w:p w14:paraId="095CB31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0046D7C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2B3EFFA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 xml:space="preserve">1宗旨 </w:t>
            </w:r>
            <w:r>
              <w:rPr>
                <w:rFonts w:hint="eastAsia" w:ascii="Times New Roman" w:hAnsi="Times New Roman" w:eastAsia="仿宋_GB2312" w:cs="Times New Roman"/>
                <w:kern w:val="2"/>
                <w:sz w:val="28"/>
                <w:szCs w:val="36"/>
                <w:lang w:val="en-US" w:eastAsia="zh-CN" w:bidi="ar-SA"/>
              </w:rPr>
              <w:t>与结果</w:t>
            </w:r>
          </w:p>
        </w:tc>
        <w:tc>
          <w:tcPr>
            <w:tcW w:w="3246" w:type="dxa"/>
            <w:vAlign w:val="top"/>
          </w:tcPr>
          <w:p w14:paraId="02FB9F3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1.1</w:t>
            </w:r>
            <w:r>
              <w:rPr>
                <w:rFonts w:hint="eastAsia" w:ascii="Times New Roman" w:hAnsi="Times New Roman" w:eastAsia="仿宋_GB2312" w:cs="Times New Roman"/>
                <w:kern w:val="2"/>
                <w:sz w:val="28"/>
                <w:szCs w:val="36"/>
                <w:lang w:val="en-US" w:eastAsia="zh-CN" w:bidi="ar-SA"/>
              </w:rPr>
              <w:t>宗旨</w:t>
            </w:r>
          </w:p>
        </w:tc>
        <w:tc>
          <w:tcPr>
            <w:tcW w:w="4151" w:type="dxa"/>
            <w:vMerge w:val="restart"/>
            <w:tcBorders>
              <w:bottom w:val="nil"/>
            </w:tcBorders>
            <w:vAlign w:val="top"/>
          </w:tcPr>
          <w:p w14:paraId="0D7F144F">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依据社会需要和专业标准，确定任务和目标；</w:t>
            </w:r>
          </w:p>
          <w:p w14:paraId="4430B7E4">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要有共同利益方的参与，使全校师生周知；</w:t>
            </w:r>
          </w:p>
          <w:p w14:paraId="41240A8C">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实行有共同利益方参加的教学委员会制度；</w:t>
            </w:r>
          </w:p>
          <w:p w14:paraId="4C65B9C9">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依据学校确定的教育目标，制定课程计划，评定教育结果，实行基于执业能力的医学教育。</w:t>
            </w:r>
          </w:p>
        </w:tc>
      </w:tr>
      <w:tr w14:paraId="2D9B8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38" w:type="dxa"/>
            <w:vMerge w:val="continue"/>
            <w:tcBorders>
              <w:top w:val="nil"/>
              <w:bottom w:val="nil"/>
            </w:tcBorders>
            <w:vAlign w:val="top"/>
          </w:tcPr>
          <w:p w14:paraId="118C0EB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vAlign w:val="top"/>
          </w:tcPr>
          <w:p w14:paraId="4805DC4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1.2宗旨</w:t>
            </w:r>
            <w:r>
              <w:rPr>
                <w:rFonts w:hint="eastAsia" w:ascii="Times New Roman" w:hAnsi="Times New Roman" w:eastAsia="仿宋_GB2312" w:cs="Times New Roman"/>
                <w:kern w:val="2"/>
                <w:sz w:val="28"/>
                <w:szCs w:val="36"/>
                <w:lang w:val="en-US" w:eastAsia="zh-CN" w:bidi="ar-SA"/>
              </w:rPr>
              <w:t>制定过程的参与</w:t>
            </w:r>
          </w:p>
        </w:tc>
        <w:tc>
          <w:tcPr>
            <w:tcW w:w="4151" w:type="dxa"/>
            <w:vMerge w:val="continue"/>
            <w:tcBorders>
              <w:top w:val="nil"/>
              <w:bottom w:val="nil"/>
            </w:tcBorders>
            <w:vAlign w:val="top"/>
          </w:tcPr>
          <w:p w14:paraId="33347F0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r>
      <w:tr w14:paraId="6169E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938" w:type="dxa"/>
            <w:vMerge w:val="continue"/>
            <w:tcBorders>
              <w:top w:val="nil"/>
              <w:bottom w:val="nil"/>
            </w:tcBorders>
            <w:vAlign w:val="top"/>
          </w:tcPr>
          <w:p w14:paraId="04ABA66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vAlign w:val="top"/>
          </w:tcPr>
          <w:p w14:paraId="441A0A3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1.3</w:t>
            </w:r>
            <w:r>
              <w:rPr>
                <w:rFonts w:hint="eastAsia" w:ascii="Times New Roman" w:hAnsi="Times New Roman" w:eastAsia="仿宋_GB2312" w:cs="Times New Roman"/>
                <w:kern w:val="2"/>
                <w:sz w:val="28"/>
                <w:szCs w:val="36"/>
                <w:lang w:val="en-US" w:eastAsia="zh-CN" w:bidi="ar-SA"/>
              </w:rPr>
              <w:t>院校自主权和</w:t>
            </w:r>
            <w:r>
              <w:rPr>
                <w:rFonts w:hint="default" w:ascii="Times New Roman" w:hAnsi="Times New Roman" w:eastAsia="仿宋_GB2312" w:cs="Times New Roman"/>
                <w:kern w:val="2"/>
                <w:sz w:val="28"/>
                <w:szCs w:val="36"/>
                <w:lang w:val="en-US" w:eastAsia="zh-CN" w:bidi="ar-SA"/>
              </w:rPr>
              <w:t>学术自</w:t>
            </w:r>
            <w:r>
              <w:rPr>
                <w:rFonts w:hint="eastAsia" w:ascii="Times New Roman" w:hAnsi="Times New Roman" w:eastAsia="仿宋_GB2312" w:cs="Times New Roman"/>
                <w:kern w:val="2"/>
                <w:sz w:val="28"/>
                <w:szCs w:val="36"/>
                <w:lang w:val="en-US" w:eastAsia="zh-CN" w:bidi="ar-SA"/>
              </w:rPr>
              <w:t>由</w:t>
            </w:r>
          </w:p>
        </w:tc>
        <w:tc>
          <w:tcPr>
            <w:tcW w:w="4151" w:type="dxa"/>
            <w:vMerge w:val="continue"/>
            <w:tcBorders>
              <w:top w:val="nil"/>
              <w:bottom w:val="nil"/>
            </w:tcBorders>
            <w:vAlign w:val="top"/>
          </w:tcPr>
          <w:p w14:paraId="32C3BB9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r>
      <w:tr w14:paraId="7D577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938" w:type="dxa"/>
            <w:vMerge w:val="continue"/>
            <w:tcBorders>
              <w:top w:val="nil"/>
              <w:bottom w:val="single" w:color="auto" w:sz="4" w:space="0"/>
            </w:tcBorders>
            <w:vAlign w:val="top"/>
          </w:tcPr>
          <w:p w14:paraId="3DDE80A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bottom w:val="single" w:color="auto" w:sz="4" w:space="0"/>
            </w:tcBorders>
            <w:vAlign w:val="top"/>
          </w:tcPr>
          <w:p w14:paraId="6337468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1.4教育结果</w:t>
            </w:r>
          </w:p>
        </w:tc>
        <w:tc>
          <w:tcPr>
            <w:tcW w:w="4151" w:type="dxa"/>
            <w:vMerge w:val="continue"/>
            <w:tcBorders>
              <w:top w:val="nil"/>
              <w:bottom w:val="single" w:color="auto" w:sz="4" w:space="0"/>
            </w:tcBorders>
            <w:vAlign w:val="top"/>
          </w:tcPr>
          <w:p w14:paraId="42619A1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r>
      <w:tr w14:paraId="1C93B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938" w:type="dxa"/>
            <w:vMerge w:val="restart"/>
            <w:tcBorders>
              <w:top w:val="single" w:color="auto" w:sz="4" w:space="0"/>
              <w:left w:val="single" w:color="auto" w:sz="4" w:space="0"/>
              <w:bottom w:val="nil"/>
            </w:tcBorders>
            <w:vAlign w:val="top"/>
          </w:tcPr>
          <w:p w14:paraId="06FE880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0FF3D86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293F059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4191966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311EC47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05F65A7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540260F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68B80BA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1EAD2D7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22BC7CB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w:t>
            </w:r>
            <w:r>
              <w:rPr>
                <w:rFonts w:hint="eastAsia" w:ascii="Times New Roman" w:hAnsi="Times New Roman" w:eastAsia="仿宋_GB2312" w:cs="Times New Roman"/>
                <w:kern w:val="2"/>
                <w:sz w:val="28"/>
                <w:szCs w:val="36"/>
                <w:lang w:val="en-US" w:eastAsia="zh-CN" w:bidi="ar-SA"/>
              </w:rPr>
              <w:t>课程计划</w:t>
            </w:r>
          </w:p>
        </w:tc>
        <w:tc>
          <w:tcPr>
            <w:tcW w:w="3246" w:type="dxa"/>
            <w:tcBorders>
              <w:top w:val="single" w:color="auto" w:sz="4" w:space="0"/>
            </w:tcBorders>
            <w:vAlign w:val="top"/>
          </w:tcPr>
          <w:p w14:paraId="2AFEBE2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2.1课程计划</w:t>
            </w:r>
            <w:r>
              <w:rPr>
                <w:rFonts w:hint="eastAsia" w:ascii="Times New Roman" w:hAnsi="Times New Roman" w:eastAsia="仿宋_GB2312" w:cs="Times New Roman"/>
                <w:kern w:val="2"/>
                <w:sz w:val="28"/>
                <w:szCs w:val="36"/>
                <w:lang w:val="en-US" w:eastAsia="zh-CN" w:bidi="ar-SA"/>
              </w:rPr>
              <w:t>的制定与实施</w:t>
            </w:r>
          </w:p>
        </w:tc>
        <w:tc>
          <w:tcPr>
            <w:tcW w:w="4151" w:type="dxa"/>
            <w:vMerge w:val="restart"/>
            <w:tcBorders>
              <w:top w:val="single" w:color="auto" w:sz="4" w:space="0"/>
              <w:bottom w:val="nil"/>
              <w:right w:val="single" w:color="auto" w:sz="4" w:space="0"/>
            </w:tcBorders>
            <w:vAlign w:val="top"/>
          </w:tcPr>
          <w:p w14:paraId="10C4918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p w14:paraId="02B7D12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1.要求从学科课程转向整合课程 (横向与纵向</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w:t>
            </w:r>
          </w:p>
          <w:p w14:paraId="330455A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2.必须明确核心课程和自选课  程；要关注批判性思维和科学方 法的培养；高度重视职业态度和行 为；强调行为科学、人文社会科学与医学伦理学的教育。</w:t>
            </w:r>
          </w:p>
          <w:p w14:paraId="19FE6B4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3.主张采用自主学习的教学方法；</w:t>
            </w:r>
          </w:p>
          <w:p w14:paraId="359643B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4.重视预防医学、社区医学、初级卫生保健；要求临床基本能力，提倡早期接触临床，全科医学，循证医学；必须为毕业后教育奠定  基础，并有机衔接；</w:t>
            </w:r>
          </w:p>
          <w:p w14:paraId="3D8A74B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5.制定课程计划应该有共同利益者参与。</w:t>
            </w:r>
          </w:p>
        </w:tc>
      </w:tr>
      <w:tr w14:paraId="446C5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38" w:type="dxa"/>
            <w:vMerge w:val="continue"/>
            <w:tcBorders>
              <w:top w:val="nil"/>
              <w:left w:val="single" w:color="auto" w:sz="4" w:space="0"/>
              <w:bottom w:val="nil"/>
            </w:tcBorders>
            <w:vAlign w:val="top"/>
          </w:tcPr>
          <w:p w14:paraId="5E5ADFF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vAlign w:val="top"/>
          </w:tcPr>
          <w:p w14:paraId="5E0C456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2.2</w:t>
            </w:r>
            <w:r>
              <w:rPr>
                <w:rFonts w:hint="eastAsia" w:ascii="Times New Roman" w:hAnsi="Times New Roman" w:eastAsia="仿宋_GB2312" w:cs="Times New Roman"/>
                <w:kern w:val="2"/>
                <w:sz w:val="28"/>
                <w:szCs w:val="36"/>
                <w:lang w:val="en-US" w:eastAsia="zh-CN" w:bidi="ar-SA"/>
              </w:rPr>
              <w:t>科学方法教育</w:t>
            </w:r>
          </w:p>
        </w:tc>
        <w:tc>
          <w:tcPr>
            <w:tcW w:w="4151" w:type="dxa"/>
            <w:vMerge w:val="continue"/>
            <w:tcBorders>
              <w:top w:val="nil"/>
              <w:bottom w:val="nil"/>
              <w:right w:val="single" w:color="auto" w:sz="4" w:space="0"/>
            </w:tcBorders>
            <w:vAlign w:val="top"/>
          </w:tcPr>
          <w:p w14:paraId="554BF63C">
            <w:pPr>
              <w:rPr>
                <w:rFonts w:ascii="Arial"/>
                <w:sz w:val="21"/>
              </w:rPr>
            </w:pPr>
          </w:p>
        </w:tc>
      </w:tr>
      <w:tr w14:paraId="326AF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8" w:type="dxa"/>
            <w:vMerge w:val="continue"/>
            <w:tcBorders>
              <w:top w:val="nil"/>
              <w:left w:val="single" w:color="auto" w:sz="4" w:space="0"/>
              <w:bottom w:val="nil"/>
            </w:tcBorders>
            <w:vAlign w:val="top"/>
          </w:tcPr>
          <w:p w14:paraId="38C89D5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vAlign w:val="top"/>
          </w:tcPr>
          <w:p w14:paraId="7F8EFFD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2.3</w:t>
            </w:r>
            <w:r>
              <w:rPr>
                <w:rFonts w:hint="eastAsia" w:ascii="Times New Roman" w:hAnsi="Times New Roman" w:eastAsia="仿宋_GB2312" w:cs="Times New Roman"/>
                <w:kern w:val="2"/>
                <w:sz w:val="28"/>
                <w:szCs w:val="36"/>
                <w:lang w:val="en-US" w:eastAsia="zh-CN" w:bidi="ar-SA"/>
              </w:rPr>
              <w:t>人文社会科学和自然科学课程</w:t>
            </w:r>
          </w:p>
        </w:tc>
        <w:tc>
          <w:tcPr>
            <w:tcW w:w="4151" w:type="dxa"/>
            <w:vMerge w:val="continue"/>
            <w:tcBorders>
              <w:top w:val="nil"/>
              <w:bottom w:val="nil"/>
              <w:right w:val="single" w:color="auto" w:sz="4" w:space="0"/>
            </w:tcBorders>
            <w:vAlign w:val="top"/>
          </w:tcPr>
          <w:p w14:paraId="11BC62F7">
            <w:pPr>
              <w:rPr>
                <w:rFonts w:ascii="Arial"/>
                <w:sz w:val="21"/>
              </w:rPr>
            </w:pPr>
          </w:p>
        </w:tc>
      </w:tr>
      <w:tr w14:paraId="2FB08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938" w:type="dxa"/>
            <w:vMerge w:val="continue"/>
            <w:tcBorders>
              <w:top w:val="nil"/>
              <w:left w:val="single" w:color="auto" w:sz="4" w:space="0"/>
              <w:bottom w:val="nil"/>
            </w:tcBorders>
            <w:vAlign w:val="top"/>
          </w:tcPr>
          <w:p w14:paraId="0134414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vAlign w:val="top"/>
          </w:tcPr>
          <w:p w14:paraId="6B7F721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2.4</w:t>
            </w:r>
            <w:r>
              <w:rPr>
                <w:rFonts w:hint="eastAsia" w:ascii="Times New Roman" w:hAnsi="Times New Roman" w:eastAsia="仿宋_GB2312" w:cs="Times New Roman"/>
                <w:kern w:val="2"/>
                <w:sz w:val="28"/>
                <w:szCs w:val="36"/>
                <w:lang w:val="en-US" w:eastAsia="zh-CN" w:bidi="ar-SA"/>
              </w:rPr>
              <w:t>生物与基础医学课程</w:t>
            </w:r>
          </w:p>
        </w:tc>
        <w:tc>
          <w:tcPr>
            <w:tcW w:w="4151" w:type="dxa"/>
            <w:vMerge w:val="continue"/>
            <w:tcBorders>
              <w:top w:val="nil"/>
              <w:bottom w:val="nil"/>
              <w:right w:val="single" w:color="auto" w:sz="4" w:space="0"/>
            </w:tcBorders>
            <w:vAlign w:val="top"/>
          </w:tcPr>
          <w:p w14:paraId="1A76DCD5">
            <w:pPr>
              <w:rPr>
                <w:rFonts w:ascii="Arial"/>
                <w:sz w:val="21"/>
              </w:rPr>
            </w:pPr>
          </w:p>
        </w:tc>
      </w:tr>
      <w:tr w14:paraId="7E405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8" w:type="dxa"/>
            <w:vMerge w:val="continue"/>
            <w:tcBorders>
              <w:top w:val="nil"/>
              <w:left w:val="single" w:color="auto" w:sz="4" w:space="0"/>
              <w:bottom w:val="nil"/>
            </w:tcBorders>
            <w:vAlign w:val="top"/>
          </w:tcPr>
          <w:p w14:paraId="49DBE8A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vAlign w:val="top"/>
          </w:tcPr>
          <w:p w14:paraId="69B0305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2.5</w:t>
            </w:r>
            <w:r>
              <w:rPr>
                <w:rFonts w:hint="eastAsia" w:ascii="Times New Roman" w:hAnsi="Times New Roman" w:eastAsia="仿宋_GB2312" w:cs="Times New Roman"/>
                <w:kern w:val="2"/>
                <w:sz w:val="28"/>
                <w:szCs w:val="36"/>
                <w:lang w:val="en-US" w:eastAsia="zh-CN" w:bidi="ar-SA"/>
              </w:rPr>
              <w:t>公共卫生与预防医学课程</w:t>
            </w:r>
          </w:p>
        </w:tc>
        <w:tc>
          <w:tcPr>
            <w:tcW w:w="4151" w:type="dxa"/>
            <w:vMerge w:val="continue"/>
            <w:tcBorders>
              <w:top w:val="nil"/>
              <w:bottom w:val="nil"/>
              <w:right w:val="single" w:color="auto" w:sz="4" w:space="0"/>
            </w:tcBorders>
            <w:vAlign w:val="top"/>
          </w:tcPr>
          <w:p w14:paraId="21F4DDD6">
            <w:pPr>
              <w:rPr>
                <w:rFonts w:ascii="Arial"/>
                <w:sz w:val="21"/>
              </w:rPr>
            </w:pPr>
          </w:p>
        </w:tc>
      </w:tr>
      <w:tr w14:paraId="2D463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938" w:type="dxa"/>
            <w:vMerge w:val="continue"/>
            <w:tcBorders>
              <w:top w:val="nil"/>
              <w:left w:val="single" w:color="auto" w:sz="4" w:space="0"/>
              <w:bottom w:val="nil"/>
            </w:tcBorders>
            <w:vAlign w:val="top"/>
          </w:tcPr>
          <w:p w14:paraId="5ADF596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vAlign w:val="top"/>
          </w:tcPr>
          <w:p w14:paraId="010096F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2.6</w:t>
            </w:r>
            <w:r>
              <w:rPr>
                <w:rFonts w:hint="eastAsia" w:ascii="Times New Roman" w:hAnsi="Times New Roman" w:eastAsia="仿宋_GB2312" w:cs="Times New Roman"/>
                <w:kern w:val="2"/>
                <w:sz w:val="28"/>
                <w:szCs w:val="36"/>
                <w:lang w:val="en-US" w:eastAsia="zh-CN" w:bidi="ar-SA"/>
              </w:rPr>
              <w:t>临床医学课程</w:t>
            </w:r>
          </w:p>
        </w:tc>
        <w:tc>
          <w:tcPr>
            <w:tcW w:w="4151" w:type="dxa"/>
            <w:vMerge w:val="continue"/>
            <w:tcBorders>
              <w:top w:val="nil"/>
              <w:bottom w:val="nil"/>
              <w:right w:val="single" w:color="auto" w:sz="4" w:space="0"/>
            </w:tcBorders>
            <w:vAlign w:val="top"/>
          </w:tcPr>
          <w:p w14:paraId="361417AB">
            <w:pPr>
              <w:rPr>
                <w:rFonts w:ascii="Arial"/>
                <w:sz w:val="21"/>
              </w:rPr>
            </w:pPr>
          </w:p>
        </w:tc>
      </w:tr>
      <w:tr w14:paraId="5D557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938" w:type="dxa"/>
            <w:vMerge w:val="continue"/>
            <w:tcBorders>
              <w:top w:val="nil"/>
              <w:left w:val="single" w:color="auto" w:sz="4" w:space="0"/>
              <w:bottom w:val="single" w:color="auto" w:sz="4" w:space="0"/>
            </w:tcBorders>
            <w:vAlign w:val="top"/>
          </w:tcPr>
          <w:p w14:paraId="18D520A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bottom w:val="single" w:color="auto" w:sz="4" w:space="0"/>
            </w:tcBorders>
            <w:vAlign w:val="top"/>
          </w:tcPr>
          <w:p w14:paraId="48E219D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2.7</w:t>
            </w:r>
            <w:r>
              <w:rPr>
                <w:rFonts w:hint="eastAsia" w:ascii="Times New Roman" w:hAnsi="Times New Roman" w:eastAsia="仿宋_GB2312" w:cs="Times New Roman"/>
                <w:kern w:val="2"/>
                <w:sz w:val="28"/>
                <w:szCs w:val="36"/>
                <w:lang w:val="en-US" w:eastAsia="zh-CN" w:bidi="ar-SA"/>
              </w:rPr>
              <w:t>课程计划的结构、组成</w:t>
            </w:r>
          </w:p>
        </w:tc>
        <w:tc>
          <w:tcPr>
            <w:tcW w:w="4151" w:type="dxa"/>
            <w:vMerge w:val="continue"/>
            <w:tcBorders>
              <w:top w:val="nil"/>
              <w:bottom w:val="single" w:color="auto" w:sz="4" w:space="0"/>
              <w:right w:val="single" w:color="auto" w:sz="4" w:space="0"/>
            </w:tcBorders>
            <w:vAlign w:val="top"/>
          </w:tcPr>
          <w:p w14:paraId="32190621">
            <w:pPr>
              <w:rPr>
                <w:rFonts w:ascii="Arial"/>
                <w:sz w:val="21"/>
              </w:rPr>
            </w:pPr>
          </w:p>
        </w:tc>
      </w:tr>
      <w:tr w14:paraId="0A4BB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938" w:type="dxa"/>
            <w:vMerge w:val="continue"/>
            <w:tcBorders>
              <w:top w:val="single" w:color="auto" w:sz="4" w:space="0"/>
              <w:left w:val="single" w:color="auto" w:sz="4" w:space="0"/>
              <w:bottom w:val="nil"/>
            </w:tcBorders>
            <w:vAlign w:val="top"/>
          </w:tcPr>
          <w:p w14:paraId="62F6374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top w:val="single" w:color="auto" w:sz="4" w:space="0"/>
            </w:tcBorders>
            <w:vAlign w:val="top"/>
          </w:tcPr>
          <w:p w14:paraId="649FE33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2.8</w:t>
            </w:r>
            <w:r>
              <w:rPr>
                <w:rFonts w:hint="eastAsia" w:ascii="Times New Roman" w:hAnsi="Times New Roman" w:eastAsia="仿宋_GB2312" w:cs="Times New Roman"/>
                <w:kern w:val="2"/>
                <w:sz w:val="28"/>
                <w:szCs w:val="36"/>
                <w:lang w:val="en-US" w:eastAsia="zh-CN" w:bidi="ar-SA"/>
              </w:rPr>
              <w:t>课程计划管理</w:t>
            </w:r>
          </w:p>
        </w:tc>
        <w:tc>
          <w:tcPr>
            <w:tcW w:w="4151" w:type="dxa"/>
            <w:vMerge w:val="continue"/>
            <w:tcBorders>
              <w:top w:val="single" w:color="auto" w:sz="4" w:space="0"/>
              <w:bottom w:val="nil"/>
              <w:right w:val="single" w:color="auto" w:sz="4" w:space="0"/>
            </w:tcBorders>
            <w:vAlign w:val="top"/>
          </w:tcPr>
          <w:p w14:paraId="3891CF22">
            <w:pPr>
              <w:rPr>
                <w:rFonts w:ascii="Arial"/>
                <w:sz w:val="21"/>
              </w:rPr>
            </w:pPr>
          </w:p>
        </w:tc>
      </w:tr>
      <w:tr w14:paraId="3EB92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continue"/>
            <w:tcBorders>
              <w:top w:val="nil"/>
              <w:left w:val="single" w:color="auto" w:sz="4" w:space="0"/>
              <w:bottom w:val="single" w:color="auto" w:sz="4" w:space="0"/>
            </w:tcBorders>
            <w:vAlign w:val="top"/>
          </w:tcPr>
          <w:p w14:paraId="40830ED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vAlign w:val="top"/>
          </w:tcPr>
          <w:p w14:paraId="21A648A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2.9</w:t>
            </w:r>
            <w:r>
              <w:rPr>
                <w:rFonts w:hint="eastAsia" w:ascii="Times New Roman" w:hAnsi="Times New Roman" w:eastAsia="仿宋_GB2312" w:cs="Times New Roman"/>
                <w:kern w:val="2"/>
                <w:sz w:val="28"/>
                <w:szCs w:val="36"/>
                <w:lang w:val="en-US" w:eastAsia="zh-CN" w:bidi="ar-SA"/>
              </w:rPr>
              <w:t>与毕业后教育和继续医学教育的联系</w:t>
            </w:r>
          </w:p>
        </w:tc>
        <w:tc>
          <w:tcPr>
            <w:tcW w:w="4151" w:type="dxa"/>
            <w:vMerge w:val="continue"/>
            <w:tcBorders>
              <w:top w:val="nil"/>
              <w:bottom w:val="single" w:color="auto" w:sz="4" w:space="0"/>
              <w:right w:val="single" w:color="auto" w:sz="4" w:space="0"/>
            </w:tcBorders>
            <w:vAlign w:val="top"/>
          </w:tcPr>
          <w:p w14:paraId="5DC994D6">
            <w:pPr>
              <w:rPr>
                <w:rFonts w:ascii="Arial"/>
                <w:sz w:val="21"/>
              </w:rPr>
            </w:pPr>
          </w:p>
        </w:tc>
      </w:tr>
      <w:tr w14:paraId="4A125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38" w:type="dxa"/>
            <w:vMerge w:val="restart"/>
            <w:tcBorders>
              <w:top w:val="single" w:color="auto" w:sz="4" w:space="0"/>
              <w:left w:val="single" w:color="auto" w:sz="4" w:space="0"/>
              <w:bottom w:val="single" w:color="auto" w:sz="4" w:space="0"/>
              <w:right w:val="single" w:color="auto" w:sz="4" w:space="0"/>
            </w:tcBorders>
            <w:vAlign w:val="top"/>
          </w:tcPr>
          <w:p w14:paraId="221F0974">
            <w:pPr>
              <w:pStyle w:val="8"/>
              <w:keepNext w:val="0"/>
              <w:keepLines w:val="0"/>
              <w:pageBreakBefore w:val="0"/>
              <w:widowControl w:val="0"/>
              <w:kinsoku/>
              <w:wordWrap/>
              <w:overflowPunct/>
              <w:topLinePunct w:val="0"/>
              <w:autoSpaceDE/>
              <w:autoSpaceDN/>
              <w:bidi w:val="0"/>
              <w:adjustRightInd w:val="0"/>
              <w:snapToGrid w:val="0"/>
              <w:spacing w:before="65" w:line="240" w:lineRule="auto"/>
              <w:ind w:left="174" w:right="69" w:hanging="100"/>
              <w:jc w:val="left"/>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3.学业考核与评价</w:t>
            </w:r>
          </w:p>
        </w:tc>
        <w:tc>
          <w:tcPr>
            <w:tcW w:w="3246" w:type="dxa"/>
            <w:tcBorders>
              <w:left w:val="single" w:color="auto" w:sz="4" w:space="0"/>
              <w:right w:val="single" w:color="auto" w:sz="4" w:space="0"/>
            </w:tcBorders>
            <w:vAlign w:val="top"/>
          </w:tcPr>
          <w:p w14:paraId="6D4126B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3.1考核与评价方法</w:t>
            </w:r>
          </w:p>
        </w:tc>
        <w:tc>
          <w:tcPr>
            <w:tcW w:w="4151" w:type="dxa"/>
            <w:vMerge w:val="restart"/>
            <w:tcBorders>
              <w:top w:val="single" w:color="auto" w:sz="4" w:space="0"/>
              <w:left w:val="single" w:color="auto" w:sz="4" w:space="0"/>
              <w:bottom w:val="single" w:color="auto" w:sz="4" w:space="0"/>
              <w:right w:val="single" w:color="auto" w:sz="4" w:space="0"/>
            </w:tcBorders>
            <w:vAlign w:val="top"/>
          </w:tcPr>
          <w:p w14:paraId="1ABEE956">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学业成绩评定必须针对教育   目标；</w:t>
            </w:r>
          </w:p>
          <w:p w14:paraId="2E3780B3">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主张平时采用形成性评价方法；</w:t>
            </w:r>
          </w:p>
          <w:p w14:paraId="1421D38E">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提倡使用跨学科整合的试题；</w:t>
            </w:r>
          </w:p>
          <w:p w14:paraId="56679453">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强调采用现代技术、先进客观的方法；</w:t>
            </w:r>
          </w:p>
          <w:p w14:paraId="6C06DC20">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考试必须为改进教与学提供有效的信息；</w:t>
            </w:r>
          </w:p>
          <w:p w14:paraId="0D6B0F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ascii="Arial"/>
                <w:sz w:val="21"/>
              </w:rPr>
            </w:pPr>
            <w:r>
              <w:rPr>
                <w:rFonts w:hint="eastAsia" w:ascii="Times New Roman" w:hAnsi="Times New Roman" w:eastAsia="仿宋_GB2312" w:cs="Times New Roman"/>
                <w:kern w:val="2"/>
                <w:sz w:val="28"/>
                <w:szCs w:val="36"/>
                <w:lang w:val="en-US" w:eastAsia="zh-CN" w:bidi="ar-SA"/>
              </w:rPr>
              <w:t>6.必须进行基于教育测量学的考 试分析。</w:t>
            </w:r>
          </w:p>
        </w:tc>
      </w:tr>
      <w:tr w14:paraId="1AD91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938" w:type="dxa"/>
            <w:vMerge w:val="continue"/>
            <w:tcBorders>
              <w:top w:val="single" w:color="auto" w:sz="4" w:space="0"/>
              <w:left w:val="single" w:color="auto" w:sz="4" w:space="0"/>
              <w:bottom w:val="single" w:color="auto" w:sz="4" w:space="0"/>
              <w:right w:val="single" w:color="auto" w:sz="4" w:space="0"/>
            </w:tcBorders>
            <w:vAlign w:val="top"/>
          </w:tcPr>
          <w:p w14:paraId="16C65C3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471803A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3.2考核评价与学习之间的关系</w:t>
            </w:r>
          </w:p>
        </w:tc>
        <w:tc>
          <w:tcPr>
            <w:tcW w:w="4151" w:type="dxa"/>
            <w:vMerge w:val="continue"/>
            <w:tcBorders>
              <w:top w:val="single" w:color="auto" w:sz="4" w:space="0"/>
              <w:left w:val="single" w:color="auto" w:sz="4" w:space="0"/>
              <w:bottom w:val="single" w:color="auto" w:sz="4" w:space="0"/>
              <w:right w:val="single" w:color="auto" w:sz="4" w:space="0"/>
            </w:tcBorders>
            <w:vAlign w:val="top"/>
          </w:tcPr>
          <w:p w14:paraId="4BCF9F05">
            <w:pPr>
              <w:rPr>
                <w:rFonts w:ascii="Arial"/>
                <w:sz w:val="21"/>
              </w:rPr>
            </w:pPr>
          </w:p>
        </w:tc>
      </w:tr>
      <w:tr w14:paraId="35674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continue"/>
            <w:tcBorders>
              <w:top w:val="single" w:color="auto" w:sz="4" w:space="0"/>
              <w:left w:val="single" w:color="auto" w:sz="4" w:space="0"/>
              <w:bottom w:val="single" w:color="auto" w:sz="4" w:space="0"/>
              <w:right w:val="single" w:color="auto" w:sz="4" w:space="0"/>
            </w:tcBorders>
            <w:vAlign w:val="top"/>
          </w:tcPr>
          <w:p w14:paraId="6F4FA25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bottom w:val="single" w:color="auto" w:sz="4" w:space="0"/>
              <w:right w:val="single" w:color="auto" w:sz="4" w:space="0"/>
            </w:tcBorders>
            <w:vAlign w:val="top"/>
          </w:tcPr>
          <w:p w14:paraId="545F2D9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3.3考核评价结果分析与反馈</w:t>
            </w:r>
          </w:p>
        </w:tc>
        <w:tc>
          <w:tcPr>
            <w:tcW w:w="4151" w:type="dxa"/>
            <w:vMerge w:val="continue"/>
            <w:tcBorders>
              <w:top w:val="single" w:color="auto" w:sz="4" w:space="0"/>
              <w:left w:val="single" w:color="auto" w:sz="4" w:space="0"/>
              <w:bottom w:val="single" w:color="auto" w:sz="4" w:space="0"/>
              <w:right w:val="single" w:color="auto" w:sz="4" w:space="0"/>
            </w:tcBorders>
            <w:vAlign w:val="top"/>
          </w:tcPr>
          <w:p w14:paraId="65B4AB35">
            <w:pPr>
              <w:rPr>
                <w:rFonts w:ascii="Arial"/>
                <w:sz w:val="21"/>
              </w:rPr>
            </w:pPr>
          </w:p>
        </w:tc>
      </w:tr>
      <w:tr w14:paraId="7E896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938" w:type="dxa"/>
            <w:vMerge w:val="restart"/>
            <w:tcBorders>
              <w:top w:val="single" w:color="auto" w:sz="4" w:space="0"/>
              <w:left w:val="single" w:color="auto" w:sz="4" w:space="0"/>
              <w:bottom w:val="single" w:color="auto" w:sz="4" w:space="0"/>
              <w:right w:val="single" w:color="auto" w:sz="4" w:space="0"/>
            </w:tcBorders>
            <w:vAlign w:val="top"/>
          </w:tcPr>
          <w:p w14:paraId="1FA2D5E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4.学生</w:t>
            </w:r>
          </w:p>
        </w:tc>
        <w:tc>
          <w:tcPr>
            <w:tcW w:w="3246" w:type="dxa"/>
            <w:tcBorders>
              <w:top w:val="single" w:color="auto" w:sz="4" w:space="0"/>
              <w:left w:val="single" w:color="auto" w:sz="4" w:space="0"/>
              <w:bottom w:val="single" w:color="auto" w:sz="4" w:space="0"/>
              <w:right w:val="nil"/>
            </w:tcBorders>
            <w:vAlign w:val="top"/>
          </w:tcPr>
          <w:p w14:paraId="5797A9B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4.1招生政策与录取</w:t>
            </w:r>
          </w:p>
        </w:tc>
        <w:tc>
          <w:tcPr>
            <w:tcW w:w="4151" w:type="dxa"/>
            <w:vMerge w:val="restart"/>
            <w:tcBorders>
              <w:top w:val="single" w:color="auto" w:sz="4" w:space="0"/>
              <w:left w:val="nil"/>
              <w:bottom w:val="single" w:color="auto" w:sz="4" w:space="0"/>
              <w:right w:val="single" w:color="auto" w:sz="4" w:space="0"/>
            </w:tcBorders>
            <w:vAlign w:val="top"/>
          </w:tcPr>
          <w:p w14:paraId="0AF1EB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1.提供良好的学习环境和条件；</w:t>
            </w:r>
          </w:p>
          <w:p w14:paraId="28A87A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2.对学生无偏见和歧视，政策透 明；</w:t>
            </w:r>
          </w:p>
          <w:p w14:paraId="455E80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3.向学生提供学习、就业和心理咨询；</w:t>
            </w:r>
          </w:p>
          <w:p w14:paraId="1616E5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4.支持学生社团及活动；</w:t>
            </w:r>
          </w:p>
          <w:p w14:paraId="47E73D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5.保护学生的申诉权；</w:t>
            </w:r>
          </w:p>
          <w:p w14:paraId="1127DD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ascii="Arial"/>
                <w:sz w:val="21"/>
              </w:rPr>
            </w:pPr>
            <w:r>
              <w:rPr>
                <w:rFonts w:hint="eastAsia" w:ascii="Times New Roman" w:hAnsi="Times New Roman" w:eastAsia="仿宋_GB2312" w:cs="Times New Roman"/>
                <w:kern w:val="2"/>
                <w:sz w:val="28"/>
                <w:szCs w:val="36"/>
                <w:lang w:val="en-US" w:eastAsia="zh-CN" w:bidi="ar-SA"/>
              </w:rPr>
              <w:t>6.学生是学校的共同利益者。</w:t>
            </w:r>
          </w:p>
        </w:tc>
      </w:tr>
      <w:tr w14:paraId="1BC5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938" w:type="dxa"/>
            <w:vMerge w:val="continue"/>
            <w:tcBorders>
              <w:top w:val="single" w:color="auto" w:sz="4" w:space="0"/>
              <w:left w:val="single" w:color="auto" w:sz="4" w:space="0"/>
              <w:bottom w:val="single" w:color="auto" w:sz="4" w:space="0"/>
              <w:right w:val="single" w:color="auto" w:sz="4" w:space="0"/>
            </w:tcBorders>
            <w:vAlign w:val="top"/>
          </w:tcPr>
          <w:p w14:paraId="501C333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top w:val="single" w:color="auto" w:sz="4" w:space="0"/>
              <w:left w:val="single" w:color="auto" w:sz="4" w:space="0"/>
              <w:right w:val="nil"/>
            </w:tcBorders>
            <w:vAlign w:val="top"/>
          </w:tcPr>
          <w:p w14:paraId="5F1DF4C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4.2招生规模</w:t>
            </w:r>
          </w:p>
        </w:tc>
        <w:tc>
          <w:tcPr>
            <w:tcW w:w="4151" w:type="dxa"/>
            <w:vMerge w:val="continue"/>
            <w:tcBorders>
              <w:top w:val="single" w:color="auto" w:sz="4" w:space="0"/>
              <w:left w:val="nil"/>
              <w:bottom w:val="nil"/>
              <w:right w:val="single" w:color="auto" w:sz="4" w:space="0"/>
            </w:tcBorders>
            <w:vAlign w:val="top"/>
          </w:tcPr>
          <w:p w14:paraId="2F549501">
            <w:pPr>
              <w:rPr>
                <w:rFonts w:ascii="Arial"/>
                <w:sz w:val="21"/>
              </w:rPr>
            </w:pPr>
          </w:p>
        </w:tc>
      </w:tr>
      <w:tr w14:paraId="16FB8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938" w:type="dxa"/>
            <w:vMerge w:val="continue"/>
            <w:tcBorders>
              <w:top w:val="single" w:color="auto" w:sz="4" w:space="0"/>
              <w:left w:val="single" w:color="auto" w:sz="4" w:space="0"/>
              <w:bottom w:val="single" w:color="auto" w:sz="4" w:space="0"/>
              <w:right w:val="single" w:color="auto" w:sz="4" w:space="0"/>
            </w:tcBorders>
            <w:vAlign w:val="top"/>
          </w:tcPr>
          <w:p w14:paraId="2714AF7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nil"/>
            </w:tcBorders>
            <w:vAlign w:val="top"/>
          </w:tcPr>
          <w:p w14:paraId="3971C00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4.3学生咨询与支持</w:t>
            </w:r>
          </w:p>
        </w:tc>
        <w:tc>
          <w:tcPr>
            <w:tcW w:w="4151" w:type="dxa"/>
            <w:vMerge w:val="continue"/>
            <w:tcBorders>
              <w:top w:val="nil"/>
              <w:left w:val="nil"/>
              <w:bottom w:val="nil"/>
              <w:right w:val="single" w:color="auto" w:sz="4" w:space="0"/>
            </w:tcBorders>
            <w:vAlign w:val="top"/>
          </w:tcPr>
          <w:p w14:paraId="7DEA362E">
            <w:pPr>
              <w:rPr>
                <w:rFonts w:ascii="Arial"/>
                <w:sz w:val="21"/>
              </w:rPr>
            </w:pPr>
          </w:p>
        </w:tc>
      </w:tr>
      <w:tr w14:paraId="5860B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continue"/>
            <w:tcBorders>
              <w:top w:val="single" w:color="auto" w:sz="4" w:space="0"/>
              <w:left w:val="single" w:color="auto" w:sz="4" w:space="0"/>
              <w:bottom w:val="single" w:color="auto" w:sz="4" w:space="0"/>
              <w:right w:val="single" w:color="auto" w:sz="4" w:space="0"/>
            </w:tcBorders>
            <w:vAlign w:val="top"/>
          </w:tcPr>
          <w:p w14:paraId="7701687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nil"/>
            </w:tcBorders>
            <w:vAlign w:val="top"/>
          </w:tcPr>
          <w:p w14:paraId="4332484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4.4学生代表</w:t>
            </w:r>
          </w:p>
        </w:tc>
        <w:tc>
          <w:tcPr>
            <w:tcW w:w="4151" w:type="dxa"/>
            <w:vMerge w:val="continue"/>
            <w:tcBorders>
              <w:top w:val="nil"/>
              <w:left w:val="nil"/>
              <w:bottom w:val="single" w:color="auto" w:sz="4" w:space="0"/>
              <w:right w:val="single" w:color="auto" w:sz="4" w:space="0"/>
            </w:tcBorders>
            <w:vAlign w:val="top"/>
          </w:tcPr>
          <w:p w14:paraId="29141156">
            <w:pPr>
              <w:rPr>
                <w:rFonts w:ascii="Arial"/>
                <w:sz w:val="21"/>
              </w:rPr>
            </w:pPr>
          </w:p>
        </w:tc>
      </w:tr>
      <w:tr w14:paraId="159E4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restart"/>
            <w:tcBorders>
              <w:top w:val="single" w:color="auto" w:sz="4" w:space="0"/>
              <w:left w:val="single" w:color="auto" w:sz="4" w:space="0"/>
              <w:right w:val="single" w:color="auto" w:sz="4" w:space="0"/>
            </w:tcBorders>
            <w:vAlign w:val="top"/>
          </w:tcPr>
          <w:p w14:paraId="59D321D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5.教师</w:t>
            </w:r>
          </w:p>
        </w:tc>
        <w:tc>
          <w:tcPr>
            <w:tcW w:w="3246" w:type="dxa"/>
            <w:tcBorders>
              <w:left w:val="single" w:color="auto" w:sz="4" w:space="0"/>
              <w:right w:val="single" w:color="auto" w:sz="4" w:space="0"/>
            </w:tcBorders>
            <w:vAlign w:val="top"/>
          </w:tcPr>
          <w:p w14:paraId="562D691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5.1教师聘任与遴选政策</w:t>
            </w:r>
          </w:p>
        </w:tc>
        <w:tc>
          <w:tcPr>
            <w:tcW w:w="4151" w:type="dxa"/>
            <w:vMerge w:val="restart"/>
            <w:tcBorders>
              <w:top w:val="single" w:color="auto" w:sz="4" w:space="0"/>
              <w:left w:val="single" w:color="auto" w:sz="4" w:space="0"/>
              <w:bottom w:val="single" w:color="auto" w:sz="4" w:space="0"/>
              <w:right w:val="single" w:color="auto" w:sz="4" w:space="0"/>
            </w:tcBorders>
            <w:vAlign w:val="top"/>
          </w:tcPr>
          <w:p w14:paraId="72272403">
            <w:pPr>
              <w:keepNext w:val="0"/>
              <w:keepLines w:val="0"/>
              <w:pageBreakBefore w:val="0"/>
              <w:widowControl w:val="0"/>
              <w:numPr>
                <w:ilvl w:val="0"/>
                <w:numId w:val="4"/>
              </w:numPr>
              <w:kinsoku/>
              <w:wordWrap/>
              <w:overflowPunct/>
              <w:topLinePunct w:val="0"/>
              <w:autoSpaceDE/>
              <w:autoSpaceDN/>
              <w:bidi w:val="0"/>
              <w:adjustRightInd w:val="0"/>
              <w:snapToGrid w:val="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保证教师在教学、科研、医疗服务方面的平衡，在教师任用、职业发展、晋升方面的平衡，保证教师的合法权利和义务；</w:t>
            </w:r>
          </w:p>
          <w:p w14:paraId="2BD8A38C">
            <w:pPr>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教师必须参加教学管理与决策；3.建立教师业绩考核评价体系，有激励机制；</w:t>
            </w:r>
          </w:p>
          <w:p w14:paraId="0C1E1F18">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ascii="Arial"/>
                <w:sz w:val="21"/>
              </w:rPr>
            </w:pPr>
            <w:r>
              <w:rPr>
                <w:rFonts w:hint="eastAsia" w:ascii="Times New Roman" w:hAnsi="Times New Roman" w:eastAsia="仿宋_GB2312" w:cs="Times New Roman"/>
                <w:kern w:val="2"/>
                <w:sz w:val="28"/>
                <w:szCs w:val="36"/>
                <w:lang w:val="en-US" w:eastAsia="zh-CN" w:bidi="ar-SA"/>
              </w:rPr>
              <w:t>4.建立教师成长中心， 培训教师理论和技能。</w:t>
            </w:r>
          </w:p>
        </w:tc>
      </w:tr>
      <w:tr w14:paraId="4F342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continue"/>
            <w:tcBorders>
              <w:left w:val="single" w:color="auto" w:sz="4" w:space="0"/>
              <w:bottom w:val="single" w:color="auto" w:sz="4" w:space="0"/>
              <w:right w:val="single" w:color="auto" w:sz="4" w:space="0"/>
            </w:tcBorders>
            <w:vAlign w:val="top"/>
          </w:tcPr>
          <w:p w14:paraId="282D579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15DB7B9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5.2教师活动与教师发展政策</w:t>
            </w:r>
          </w:p>
        </w:tc>
        <w:tc>
          <w:tcPr>
            <w:tcW w:w="4151" w:type="dxa"/>
            <w:vMerge w:val="continue"/>
            <w:tcBorders>
              <w:top w:val="single" w:color="auto" w:sz="4" w:space="0"/>
              <w:left w:val="single" w:color="auto" w:sz="4" w:space="0"/>
              <w:bottom w:val="single" w:color="auto" w:sz="4" w:space="0"/>
              <w:right w:val="single" w:color="auto" w:sz="4" w:space="0"/>
            </w:tcBorders>
            <w:vAlign w:val="top"/>
          </w:tcPr>
          <w:p w14:paraId="3E4BE250">
            <w:pPr>
              <w:rPr>
                <w:rFonts w:ascii="Arial"/>
                <w:sz w:val="21"/>
              </w:rPr>
            </w:pPr>
          </w:p>
        </w:tc>
      </w:tr>
      <w:tr w14:paraId="728B0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938" w:type="dxa"/>
            <w:vMerge w:val="restart"/>
            <w:tcBorders>
              <w:top w:val="single" w:color="auto" w:sz="4" w:space="0"/>
              <w:left w:val="single" w:color="auto" w:sz="4" w:space="0"/>
              <w:right w:val="single" w:color="auto" w:sz="4" w:space="0"/>
            </w:tcBorders>
            <w:vAlign w:val="top"/>
          </w:tcPr>
          <w:p w14:paraId="351BD8F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6.教育资源</w:t>
            </w:r>
          </w:p>
        </w:tc>
        <w:tc>
          <w:tcPr>
            <w:tcW w:w="3246" w:type="dxa"/>
            <w:tcBorders>
              <w:left w:val="single" w:color="auto" w:sz="4" w:space="0"/>
              <w:right w:val="single" w:color="auto" w:sz="4" w:space="0"/>
            </w:tcBorders>
            <w:vAlign w:val="top"/>
          </w:tcPr>
          <w:p w14:paraId="2AEB451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6.1教育经费与资源配置</w:t>
            </w:r>
          </w:p>
        </w:tc>
        <w:tc>
          <w:tcPr>
            <w:tcW w:w="4151" w:type="dxa"/>
            <w:vMerge w:val="restart"/>
            <w:tcBorders>
              <w:top w:val="single" w:color="auto" w:sz="4" w:space="0"/>
              <w:left w:val="single" w:color="auto" w:sz="4" w:space="0"/>
              <w:right w:val="single" w:color="auto" w:sz="4" w:space="0"/>
            </w:tcBorders>
            <w:vAlign w:val="top"/>
          </w:tcPr>
          <w:p w14:paraId="277CCE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1.教育经费和基础设施足以完   成教育计划；</w:t>
            </w:r>
          </w:p>
          <w:p w14:paraId="5F5940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2.临床教学基地是关键；</w:t>
            </w:r>
          </w:p>
          <w:p w14:paraId="7EDD0F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3.社区基地必须有；</w:t>
            </w:r>
          </w:p>
          <w:p w14:paraId="17C044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4.对图书与信息资源，强调资源 共享；</w:t>
            </w:r>
          </w:p>
          <w:p w14:paraId="087CE0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ascii="Arial"/>
                <w:sz w:val="21"/>
              </w:rPr>
            </w:pPr>
            <w:r>
              <w:rPr>
                <w:rFonts w:hint="eastAsia" w:ascii="Times New Roman" w:hAnsi="Times New Roman" w:eastAsia="仿宋_GB2312" w:cs="Times New Roman"/>
                <w:kern w:val="2"/>
                <w:sz w:val="28"/>
                <w:szCs w:val="36"/>
                <w:lang w:val="en-US" w:eastAsia="zh-CN" w:bidi="ar-SA"/>
              </w:rPr>
              <w:t>5.有教育专家参与教育决策，提供咨询；</w:t>
            </w:r>
          </w:p>
          <w:p w14:paraId="233116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ascii="Arial"/>
                <w:sz w:val="21"/>
              </w:rPr>
            </w:pPr>
            <w:r>
              <w:rPr>
                <w:rFonts w:hint="eastAsia" w:ascii="Times New Roman" w:hAnsi="Times New Roman" w:eastAsia="仿宋_GB2312" w:cs="Times New Roman"/>
                <w:kern w:val="2"/>
                <w:sz w:val="28"/>
                <w:szCs w:val="36"/>
                <w:lang w:val="en-US" w:eastAsia="zh-CN" w:bidi="ar-SA"/>
              </w:rPr>
              <w:t>6.为师生提供国内外广泛交流、开阔视野机会。</w:t>
            </w:r>
          </w:p>
        </w:tc>
      </w:tr>
      <w:tr w14:paraId="615B9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938" w:type="dxa"/>
            <w:vMerge w:val="continue"/>
            <w:tcBorders>
              <w:left w:val="single" w:color="auto" w:sz="4" w:space="0"/>
              <w:right w:val="single" w:color="auto" w:sz="4" w:space="0"/>
            </w:tcBorders>
            <w:vAlign w:val="top"/>
          </w:tcPr>
          <w:p w14:paraId="13BF7F1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67FFFAF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6.2基础设施</w:t>
            </w:r>
          </w:p>
        </w:tc>
        <w:tc>
          <w:tcPr>
            <w:tcW w:w="4151" w:type="dxa"/>
            <w:vMerge w:val="continue"/>
            <w:tcBorders>
              <w:left w:val="single" w:color="auto" w:sz="4" w:space="0"/>
              <w:right w:val="single" w:color="auto" w:sz="4" w:space="0"/>
            </w:tcBorders>
            <w:vAlign w:val="top"/>
          </w:tcPr>
          <w:p w14:paraId="1E516FA9">
            <w:pPr>
              <w:rPr>
                <w:rFonts w:ascii="Arial"/>
                <w:sz w:val="21"/>
              </w:rPr>
            </w:pPr>
          </w:p>
        </w:tc>
      </w:tr>
      <w:tr w14:paraId="74CC8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38" w:type="dxa"/>
            <w:vMerge w:val="continue"/>
            <w:tcBorders>
              <w:left w:val="single" w:color="auto" w:sz="4" w:space="0"/>
              <w:right w:val="single" w:color="auto" w:sz="4" w:space="0"/>
            </w:tcBorders>
            <w:vAlign w:val="top"/>
          </w:tcPr>
          <w:p w14:paraId="1D499AC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334E0DA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6.3临床教学资源</w:t>
            </w:r>
          </w:p>
        </w:tc>
        <w:tc>
          <w:tcPr>
            <w:tcW w:w="4151" w:type="dxa"/>
            <w:vMerge w:val="continue"/>
            <w:tcBorders>
              <w:left w:val="single" w:color="auto" w:sz="4" w:space="0"/>
              <w:right w:val="single" w:color="auto" w:sz="4" w:space="0"/>
            </w:tcBorders>
            <w:vAlign w:val="top"/>
          </w:tcPr>
          <w:p w14:paraId="336F8F1A">
            <w:pPr>
              <w:rPr>
                <w:rFonts w:ascii="Arial"/>
                <w:sz w:val="21"/>
              </w:rPr>
            </w:pPr>
          </w:p>
        </w:tc>
      </w:tr>
      <w:tr w14:paraId="6026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938" w:type="dxa"/>
            <w:vMerge w:val="continue"/>
            <w:tcBorders>
              <w:left w:val="single" w:color="auto" w:sz="4" w:space="0"/>
              <w:right w:val="single" w:color="auto" w:sz="4" w:space="0"/>
            </w:tcBorders>
            <w:vAlign w:val="top"/>
          </w:tcPr>
          <w:p w14:paraId="2C0995E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1D4585E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6.4信息技术服务</w:t>
            </w:r>
          </w:p>
        </w:tc>
        <w:tc>
          <w:tcPr>
            <w:tcW w:w="4151" w:type="dxa"/>
            <w:vMerge w:val="continue"/>
            <w:tcBorders>
              <w:left w:val="single" w:color="auto" w:sz="4" w:space="0"/>
              <w:right w:val="single" w:color="auto" w:sz="4" w:space="0"/>
            </w:tcBorders>
            <w:vAlign w:val="top"/>
          </w:tcPr>
          <w:p w14:paraId="79B3E372">
            <w:pPr>
              <w:rPr>
                <w:rFonts w:ascii="Arial"/>
                <w:sz w:val="21"/>
              </w:rPr>
            </w:pPr>
          </w:p>
        </w:tc>
      </w:tr>
      <w:tr w14:paraId="4121E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938" w:type="dxa"/>
            <w:vMerge w:val="continue"/>
            <w:tcBorders>
              <w:left w:val="single" w:color="auto" w:sz="4" w:space="0"/>
              <w:right w:val="single" w:color="auto" w:sz="4" w:space="0"/>
            </w:tcBorders>
            <w:vAlign w:val="top"/>
          </w:tcPr>
          <w:p w14:paraId="2EB7B85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425973C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6.5教育专家</w:t>
            </w:r>
          </w:p>
        </w:tc>
        <w:tc>
          <w:tcPr>
            <w:tcW w:w="4151" w:type="dxa"/>
            <w:vMerge w:val="continue"/>
            <w:tcBorders>
              <w:left w:val="single" w:color="auto" w:sz="4" w:space="0"/>
              <w:right w:val="single" w:color="auto" w:sz="4" w:space="0"/>
            </w:tcBorders>
            <w:vAlign w:val="top"/>
          </w:tcPr>
          <w:p w14:paraId="22519B28">
            <w:pPr>
              <w:rPr>
                <w:rFonts w:ascii="Arial"/>
                <w:sz w:val="21"/>
              </w:rPr>
            </w:pPr>
          </w:p>
        </w:tc>
      </w:tr>
      <w:tr w14:paraId="33BF2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continue"/>
            <w:tcBorders>
              <w:left w:val="single" w:color="auto" w:sz="4" w:space="0"/>
              <w:right w:val="single" w:color="auto" w:sz="4" w:space="0"/>
            </w:tcBorders>
            <w:vAlign w:val="top"/>
          </w:tcPr>
          <w:p w14:paraId="1501E15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3A132C0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6.6教育交流</w:t>
            </w:r>
          </w:p>
        </w:tc>
        <w:tc>
          <w:tcPr>
            <w:tcW w:w="4151" w:type="dxa"/>
            <w:vMerge w:val="continue"/>
            <w:tcBorders>
              <w:left w:val="single" w:color="auto" w:sz="4" w:space="0"/>
              <w:right w:val="single" w:color="auto" w:sz="4" w:space="0"/>
            </w:tcBorders>
            <w:vAlign w:val="top"/>
          </w:tcPr>
          <w:p w14:paraId="601038F5">
            <w:pPr>
              <w:rPr>
                <w:rFonts w:ascii="Arial"/>
                <w:sz w:val="21"/>
              </w:rPr>
            </w:pPr>
          </w:p>
        </w:tc>
      </w:tr>
      <w:tr w14:paraId="7D948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938" w:type="dxa"/>
            <w:vMerge w:val="restart"/>
            <w:tcBorders>
              <w:left w:val="single" w:color="auto" w:sz="4" w:space="0"/>
              <w:right w:val="single" w:color="auto" w:sz="4" w:space="0"/>
            </w:tcBorders>
            <w:vAlign w:val="top"/>
          </w:tcPr>
          <w:p w14:paraId="02B0348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7.教育评价</w:t>
            </w:r>
          </w:p>
        </w:tc>
        <w:tc>
          <w:tcPr>
            <w:tcW w:w="3246" w:type="dxa"/>
            <w:tcBorders>
              <w:left w:val="single" w:color="auto" w:sz="4" w:space="0"/>
              <w:right w:val="single" w:color="auto" w:sz="4" w:space="0"/>
            </w:tcBorders>
            <w:vAlign w:val="top"/>
          </w:tcPr>
          <w:p w14:paraId="07EC423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7.1教育监督与评价机制</w:t>
            </w:r>
          </w:p>
        </w:tc>
        <w:tc>
          <w:tcPr>
            <w:tcW w:w="4151" w:type="dxa"/>
            <w:vMerge w:val="restart"/>
            <w:tcBorders>
              <w:left w:val="single" w:color="auto" w:sz="4" w:space="0"/>
              <w:right w:val="single" w:color="auto" w:sz="4" w:space="0"/>
            </w:tcBorders>
            <w:vAlign w:val="top"/>
          </w:tcPr>
          <w:p w14:paraId="2302D2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1.评价是内部质量保障体系的重要组成部分；</w:t>
            </w:r>
          </w:p>
          <w:p w14:paraId="70575B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2.认证强调的是教育评价运行机制的有效性；</w:t>
            </w:r>
          </w:p>
          <w:p w14:paraId="5F0FE6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3.教师、学生和毕业生质量追踪调</w:t>
            </w:r>
          </w:p>
          <w:p w14:paraId="4660E3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查获得的反馈信息是改进教育</w:t>
            </w:r>
          </w:p>
          <w:p w14:paraId="2D19F5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教学的重要依据；</w:t>
            </w:r>
          </w:p>
          <w:p w14:paraId="07D07A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4.教育评价要有共同利益方的参与。</w:t>
            </w:r>
          </w:p>
        </w:tc>
      </w:tr>
      <w:tr w14:paraId="42C6B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938" w:type="dxa"/>
            <w:vMerge w:val="continue"/>
            <w:tcBorders>
              <w:left w:val="single" w:color="auto" w:sz="4" w:space="0"/>
              <w:right w:val="single" w:color="auto" w:sz="4" w:space="0"/>
            </w:tcBorders>
            <w:vAlign w:val="top"/>
          </w:tcPr>
          <w:p w14:paraId="63EFC20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1189266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7.2教师和学生反馈</w:t>
            </w:r>
          </w:p>
        </w:tc>
        <w:tc>
          <w:tcPr>
            <w:tcW w:w="4151" w:type="dxa"/>
            <w:vMerge w:val="continue"/>
            <w:tcBorders>
              <w:left w:val="single" w:color="auto" w:sz="4" w:space="0"/>
              <w:right w:val="single" w:color="auto" w:sz="4" w:space="0"/>
            </w:tcBorders>
            <w:vAlign w:val="top"/>
          </w:tcPr>
          <w:p w14:paraId="7B1F26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p>
        </w:tc>
      </w:tr>
      <w:tr w14:paraId="7B86B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938" w:type="dxa"/>
            <w:vMerge w:val="continue"/>
            <w:tcBorders>
              <w:left w:val="single" w:color="auto" w:sz="4" w:space="0"/>
              <w:right w:val="single" w:color="auto" w:sz="4" w:space="0"/>
            </w:tcBorders>
            <w:vAlign w:val="top"/>
          </w:tcPr>
          <w:p w14:paraId="29BBF20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2317AD3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7.3学生表现</w:t>
            </w:r>
          </w:p>
        </w:tc>
        <w:tc>
          <w:tcPr>
            <w:tcW w:w="4151" w:type="dxa"/>
            <w:vMerge w:val="continue"/>
            <w:tcBorders>
              <w:left w:val="single" w:color="auto" w:sz="4" w:space="0"/>
              <w:right w:val="single" w:color="auto" w:sz="4" w:space="0"/>
            </w:tcBorders>
            <w:vAlign w:val="top"/>
          </w:tcPr>
          <w:p w14:paraId="7C4516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p>
        </w:tc>
      </w:tr>
      <w:tr w14:paraId="758B5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continue"/>
            <w:tcBorders>
              <w:left w:val="single" w:color="auto" w:sz="4" w:space="0"/>
              <w:right w:val="single" w:color="auto" w:sz="4" w:space="0"/>
            </w:tcBorders>
            <w:vAlign w:val="top"/>
          </w:tcPr>
          <w:p w14:paraId="6A2B5EA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5A89CF9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7.4利益相关方的参与</w:t>
            </w:r>
          </w:p>
        </w:tc>
        <w:tc>
          <w:tcPr>
            <w:tcW w:w="4151" w:type="dxa"/>
            <w:vMerge w:val="continue"/>
            <w:tcBorders>
              <w:left w:val="single" w:color="auto" w:sz="4" w:space="0"/>
              <w:right w:val="single" w:color="auto" w:sz="4" w:space="0"/>
            </w:tcBorders>
            <w:vAlign w:val="top"/>
          </w:tcPr>
          <w:p w14:paraId="608E77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p>
        </w:tc>
      </w:tr>
      <w:tr w14:paraId="15FEB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938" w:type="dxa"/>
            <w:vMerge w:val="restart"/>
            <w:tcBorders>
              <w:left w:val="single" w:color="auto" w:sz="4" w:space="0"/>
              <w:right w:val="single" w:color="auto" w:sz="4" w:space="0"/>
            </w:tcBorders>
            <w:vAlign w:val="top"/>
          </w:tcPr>
          <w:p w14:paraId="43D9E45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8.科学研究</w:t>
            </w:r>
          </w:p>
        </w:tc>
        <w:tc>
          <w:tcPr>
            <w:tcW w:w="3246" w:type="dxa"/>
            <w:tcBorders>
              <w:left w:val="single" w:color="auto" w:sz="4" w:space="0"/>
              <w:right w:val="single" w:color="auto" w:sz="4" w:space="0"/>
            </w:tcBorders>
            <w:vAlign w:val="top"/>
          </w:tcPr>
          <w:p w14:paraId="3084113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8.1教学与科学研究</w:t>
            </w:r>
          </w:p>
        </w:tc>
        <w:tc>
          <w:tcPr>
            <w:tcW w:w="4151" w:type="dxa"/>
            <w:vMerge w:val="restart"/>
            <w:tcBorders>
              <w:left w:val="single" w:color="auto" w:sz="4" w:space="0"/>
              <w:right w:val="single" w:color="auto" w:sz="4" w:space="0"/>
            </w:tcBorders>
            <w:vAlign w:val="top"/>
          </w:tcPr>
          <w:p w14:paraId="35499C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1.将科学研究及成果引入教学；</w:t>
            </w:r>
          </w:p>
          <w:p w14:paraId="47F3FAD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2.将学生和课程引领到科学前  沿；</w:t>
            </w:r>
          </w:p>
          <w:p w14:paraId="4BFDF7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3.通过研究活动培养学生的批判性思维与科学方法；</w:t>
            </w:r>
          </w:p>
          <w:p w14:paraId="58C169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4.加强医学教育研究和管理。</w:t>
            </w:r>
          </w:p>
        </w:tc>
      </w:tr>
      <w:tr w14:paraId="13F54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938" w:type="dxa"/>
            <w:vMerge w:val="continue"/>
            <w:tcBorders>
              <w:left w:val="single" w:color="auto" w:sz="4" w:space="0"/>
              <w:right w:val="single" w:color="auto" w:sz="4" w:space="0"/>
            </w:tcBorders>
            <w:vAlign w:val="top"/>
          </w:tcPr>
          <w:p w14:paraId="3A78FA3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02AEDF5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8.2教师科研</w:t>
            </w:r>
          </w:p>
        </w:tc>
        <w:tc>
          <w:tcPr>
            <w:tcW w:w="4151" w:type="dxa"/>
            <w:vMerge w:val="continue"/>
            <w:tcBorders>
              <w:left w:val="single" w:color="auto" w:sz="4" w:space="0"/>
              <w:right w:val="single" w:color="auto" w:sz="4" w:space="0"/>
            </w:tcBorders>
            <w:vAlign w:val="top"/>
          </w:tcPr>
          <w:p w14:paraId="2F0B6F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p>
        </w:tc>
      </w:tr>
      <w:tr w14:paraId="1F47E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continue"/>
            <w:tcBorders>
              <w:left w:val="single" w:color="auto" w:sz="4" w:space="0"/>
              <w:right w:val="single" w:color="auto" w:sz="4" w:space="0"/>
            </w:tcBorders>
            <w:vAlign w:val="top"/>
          </w:tcPr>
          <w:p w14:paraId="1A43A8F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1BDA50E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8.3学生科研</w:t>
            </w:r>
          </w:p>
        </w:tc>
        <w:tc>
          <w:tcPr>
            <w:tcW w:w="4151" w:type="dxa"/>
            <w:vMerge w:val="continue"/>
            <w:tcBorders>
              <w:left w:val="single" w:color="auto" w:sz="4" w:space="0"/>
              <w:right w:val="single" w:color="auto" w:sz="4" w:space="0"/>
            </w:tcBorders>
            <w:vAlign w:val="top"/>
          </w:tcPr>
          <w:p w14:paraId="51E92F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p>
        </w:tc>
      </w:tr>
      <w:tr w14:paraId="097F8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38" w:type="dxa"/>
            <w:vMerge w:val="restart"/>
            <w:tcBorders>
              <w:left w:val="single" w:color="auto" w:sz="4" w:space="0"/>
              <w:right w:val="single" w:color="auto" w:sz="4" w:space="0"/>
            </w:tcBorders>
            <w:vAlign w:val="top"/>
          </w:tcPr>
          <w:p w14:paraId="10BBE66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9.管理与行政</w:t>
            </w:r>
          </w:p>
        </w:tc>
        <w:tc>
          <w:tcPr>
            <w:tcW w:w="3246" w:type="dxa"/>
            <w:tcBorders>
              <w:left w:val="single" w:color="auto" w:sz="4" w:space="0"/>
              <w:right w:val="single" w:color="auto" w:sz="4" w:space="0"/>
            </w:tcBorders>
            <w:vAlign w:val="top"/>
          </w:tcPr>
          <w:p w14:paraId="34B1460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9.1管理体制与机制</w:t>
            </w:r>
          </w:p>
        </w:tc>
        <w:tc>
          <w:tcPr>
            <w:tcW w:w="4151" w:type="dxa"/>
            <w:vMerge w:val="restart"/>
            <w:tcBorders>
              <w:left w:val="single" w:color="auto" w:sz="4" w:space="0"/>
              <w:right w:val="single" w:color="auto" w:sz="4" w:space="0"/>
            </w:tcBorders>
            <w:vAlign w:val="top"/>
          </w:tcPr>
          <w:p w14:paraId="0EB529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1.民主管理机制的建立和执行，如教学委员会赋予负责教学的领导以足够的管理权限；</w:t>
            </w:r>
          </w:p>
          <w:p w14:paraId="648D1B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2.管理人员必须明确职责，进行教育培训；</w:t>
            </w:r>
          </w:p>
          <w:p w14:paraId="5F6B9E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3.要与相关卫生部门和机构建立建设性关系。</w:t>
            </w:r>
          </w:p>
        </w:tc>
      </w:tr>
      <w:tr w14:paraId="5EB2F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938" w:type="dxa"/>
            <w:vMerge w:val="continue"/>
            <w:tcBorders>
              <w:left w:val="single" w:color="auto" w:sz="4" w:space="0"/>
              <w:right w:val="single" w:color="auto" w:sz="4" w:space="0"/>
            </w:tcBorders>
            <w:vAlign w:val="top"/>
          </w:tcPr>
          <w:p w14:paraId="6091962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0A2BCFB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9.2医学教育主管领导</w:t>
            </w:r>
          </w:p>
        </w:tc>
        <w:tc>
          <w:tcPr>
            <w:tcW w:w="4151" w:type="dxa"/>
            <w:vMerge w:val="continue"/>
            <w:tcBorders>
              <w:left w:val="single" w:color="auto" w:sz="4" w:space="0"/>
              <w:right w:val="single" w:color="auto" w:sz="4" w:space="0"/>
            </w:tcBorders>
            <w:vAlign w:val="top"/>
          </w:tcPr>
          <w:p w14:paraId="18DF7D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p>
        </w:tc>
      </w:tr>
      <w:tr w14:paraId="2DC3B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938" w:type="dxa"/>
            <w:vMerge w:val="continue"/>
            <w:tcBorders>
              <w:left w:val="single" w:color="auto" w:sz="4" w:space="0"/>
              <w:right w:val="single" w:color="auto" w:sz="4" w:space="0"/>
            </w:tcBorders>
            <w:vAlign w:val="top"/>
          </w:tcPr>
          <w:p w14:paraId="476673A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64BC691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9.3行政人员及管理</w:t>
            </w:r>
          </w:p>
        </w:tc>
        <w:tc>
          <w:tcPr>
            <w:tcW w:w="4151" w:type="dxa"/>
            <w:vMerge w:val="continue"/>
            <w:tcBorders>
              <w:left w:val="single" w:color="auto" w:sz="4" w:space="0"/>
              <w:right w:val="single" w:color="auto" w:sz="4" w:space="0"/>
            </w:tcBorders>
            <w:vAlign w:val="top"/>
          </w:tcPr>
          <w:p w14:paraId="15D6271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p>
        </w:tc>
      </w:tr>
      <w:tr w14:paraId="7F959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vMerge w:val="continue"/>
            <w:tcBorders>
              <w:left w:val="single" w:color="auto" w:sz="4" w:space="0"/>
              <w:right w:val="single" w:color="auto" w:sz="4" w:space="0"/>
            </w:tcBorders>
            <w:vAlign w:val="top"/>
          </w:tcPr>
          <w:p w14:paraId="668C627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p>
        </w:tc>
        <w:tc>
          <w:tcPr>
            <w:tcW w:w="3246" w:type="dxa"/>
            <w:tcBorders>
              <w:left w:val="single" w:color="auto" w:sz="4" w:space="0"/>
              <w:right w:val="single" w:color="auto" w:sz="4" w:space="0"/>
            </w:tcBorders>
            <w:vAlign w:val="top"/>
          </w:tcPr>
          <w:p w14:paraId="704F22C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9.4与医疗卫生机构、行政管理部门的相互关系</w:t>
            </w:r>
          </w:p>
        </w:tc>
        <w:tc>
          <w:tcPr>
            <w:tcW w:w="4151" w:type="dxa"/>
            <w:vMerge w:val="continue"/>
            <w:tcBorders>
              <w:left w:val="single" w:color="auto" w:sz="4" w:space="0"/>
              <w:right w:val="single" w:color="auto" w:sz="4" w:space="0"/>
            </w:tcBorders>
            <w:vAlign w:val="top"/>
          </w:tcPr>
          <w:p w14:paraId="021CF2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p>
        </w:tc>
      </w:tr>
      <w:tr w14:paraId="03C74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dxa"/>
            <w:tcBorders>
              <w:left w:val="single" w:color="auto" w:sz="4" w:space="0"/>
              <w:bottom w:val="single" w:color="auto" w:sz="4" w:space="0"/>
              <w:right w:val="single" w:color="auto" w:sz="4" w:space="0"/>
            </w:tcBorders>
            <w:vAlign w:val="top"/>
          </w:tcPr>
          <w:p w14:paraId="113A51E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10.改革与发展</w:t>
            </w:r>
          </w:p>
        </w:tc>
        <w:tc>
          <w:tcPr>
            <w:tcW w:w="7397" w:type="dxa"/>
            <w:gridSpan w:val="2"/>
            <w:tcBorders>
              <w:left w:val="single" w:color="auto" w:sz="4" w:space="0"/>
              <w:right w:val="single" w:color="auto" w:sz="4" w:space="0"/>
            </w:tcBorders>
            <w:vAlign w:val="top"/>
          </w:tcPr>
          <w:p w14:paraId="500AA188">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课程与时俱进，适应卫生服务需要；</w:t>
            </w:r>
          </w:p>
          <w:p w14:paraId="0F7A1AA6">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以资源定规模，实现可持续发展；</w:t>
            </w:r>
          </w:p>
          <w:p w14:paraId="6EC967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3.完善制度，规范管理，保证质量；</w:t>
            </w:r>
          </w:p>
          <w:p w14:paraId="36DDDE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4.顺应医学教育趋势，建立现代医学教育体系。</w:t>
            </w:r>
          </w:p>
        </w:tc>
      </w:tr>
    </w:tbl>
    <w:p w14:paraId="5EB3E23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p>
    <w:p w14:paraId="206110B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p>
    <w:p w14:paraId="039C76F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p>
    <w:p w14:paraId="0CCFA48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ab/>
      </w:r>
      <w:r>
        <w:rPr>
          <w:rFonts w:hint="default" w:ascii="Times New Roman" w:hAnsi="Times New Roman" w:eastAsia="仿宋_GB2312" w:cs="Times New Roman"/>
          <w:sz w:val="28"/>
          <w:szCs w:val="36"/>
          <w:lang w:val="en-US" w:eastAsia="zh-CN"/>
        </w:rPr>
        <w:tab/>
      </w:r>
    </w:p>
    <w:p w14:paraId="06C75D0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ab/>
      </w:r>
      <w:r>
        <w:rPr>
          <w:rFonts w:hint="default" w:ascii="Times New Roman" w:hAnsi="Times New Roman" w:eastAsia="仿宋_GB2312" w:cs="Times New Roman"/>
          <w:sz w:val="28"/>
          <w:szCs w:val="36"/>
          <w:lang w:val="en-US" w:eastAsia="zh-CN"/>
        </w:rPr>
        <w:tab/>
      </w:r>
      <w:r>
        <w:rPr>
          <w:rFonts w:hint="default" w:ascii="Times New Roman" w:hAnsi="Times New Roman" w:eastAsia="仿宋_GB2312" w:cs="Times New Roman"/>
          <w:sz w:val="28"/>
          <w:szCs w:val="36"/>
          <w:lang w:val="en-US" w:eastAsia="zh-CN"/>
        </w:rPr>
        <w:tab/>
      </w:r>
    </w:p>
    <w:p w14:paraId="25A1CABC">
      <w:pPr>
        <w:numPr>
          <w:ilvl w:val="0"/>
          <w:numId w:val="0"/>
        </w:numPr>
        <w:spacing w:before="155" w:line="204" w:lineRule="auto"/>
        <w:jc w:val="center"/>
        <w:outlineLvl w:val="0"/>
        <w:rPr>
          <w:rFonts w:hint="default" w:ascii="Times New Roman" w:hAnsi="Times New Roman" w:eastAsia="仿宋_GB2312" w:cs="Times New Roman"/>
          <w:sz w:val="28"/>
          <w:szCs w:val="36"/>
          <w:lang w:val="en-US" w:eastAsia="zh-CN"/>
        </w:rPr>
      </w:pPr>
      <w:r>
        <w:rPr>
          <w:rFonts w:hint="default" w:ascii="方正小标宋简体" w:hAnsi="方正小标宋简体" w:eastAsia="方正小标宋简体" w:cs="方正小标宋简体"/>
          <w:spacing w:val="-1"/>
          <w:kern w:val="2"/>
          <w:sz w:val="36"/>
          <w:szCs w:val="36"/>
          <w:lang w:val="en-US" w:eastAsia="zh-CN" w:bidi="ar-SA"/>
        </w:rPr>
        <w:t>第</w:t>
      </w:r>
      <w:r>
        <w:rPr>
          <w:rFonts w:hint="eastAsia" w:ascii="方正小标宋简体" w:hAnsi="方正小标宋简体" w:eastAsia="方正小标宋简体" w:cs="方正小标宋简体"/>
          <w:spacing w:val="-1"/>
          <w:kern w:val="2"/>
          <w:sz w:val="36"/>
          <w:szCs w:val="36"/>
          <w:lang w:val="en-US" w:eastAsia="zh-CN" w:bidi="ar-SA"/>
        </w:rPr>
        <w:t>四</w:t>
      </w:r>
      <w:r>
        <w:rPr>
          <w:rFonts w:hint="default" w:ascii="方正小标宋简体" w:hAnsi="方正小标宋简体" w:eastAsia="方正小标宋简体" w:cs="方正小标宋简体"/>
          <w:spacing w:val="-1"/>
          <w:kern w:val="2"/>
          <w:sz w:val="36"/>
          <w:szCs w:val="36"/>
          <w:lang w:val="en-US" w:eastAsia="zh-CN" w:bidi="ar-SA"/>
        </w:rPr>
        <w:t>部分   临床医学专业认证模拟知识问答</w:t>
      </w:r>
    </w:p>
    <w:p w14:paraId="32EA17C1">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一、通用部分</w:t>
      </w:r>
    </w:p>
    <w:p w14:paraId="11D16E6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1.你知道我国临床医学专业认证标准吗?</w:t>
      </w:r>
    </w:p>
    <w:p w14:paraId="61B8D58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2.你知道临床医学专业认证的目的和意义吗?</w:t>
      </w:r>
    </w:p>
    <w:p w14:paraId="16352BC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3.在学校准备接受认证过程中，学校要求你做了哪些具体工作?</w:t>
      </w:r>
    </w:p>
    <w:p w14:paraId="78C0DC4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4.你知道</w:t>
      </w:r>
      <w:r>
        <w:rPr>
          <w:rFonts w:hint="eastAsia" w:ascii="Times New Roman" w:hAnsi="Times New Roman" w:eastAsia="仿宋_GB2312" w:cs="Times New Roman"/>
          <w:sz w:val="28"/>
          <w:szCs w:val="36"/>
          <w:lang w:val="en-US" w:eastAsia="zh-CN"/>
        </w:rPr>
        <w:t>豫北医学院</w:t>
      </w:r>
      <w:r>
        <w:rPr>
          <w:rFonts w:hint="default" w:ascii="Times New Roman" w:hAnsi="Times New Roman" w:eastAsia="仿宋_GB2312" w:cs="Times New Roman"/>
          <w:sz w:val="28"/>
          <w:szCs w:val="36"/>
          <w:lang w:val="en-US" w:eastAsia="zh-CN"/>
        </w:rPr>
        <w:t>的办学目标吗?</w:t>
      </w:r>
    </w:p>
    <w:p w14:paraId="2EB4871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5.你知道</w:t>
      </w:r>
      <w:r>
        <w:rPr>
          <w:rFonts w:hint="eastAsia" w:ascii="Times New Roman" w:hAnsi="Times New Roman" w:eastAsia="仿宋_GB2312" w:cs="Times New Roman"/>
          <w:sz w:val="28"/>
          <w:szCs w:val="36"/>
          <w:lang w:val="en-US" w:eastAsia="zh-CN"/>
        </w:rPr>
        <w:t>豫北医学院</w:t>
      </w:r>
      <w:r>
        <w:rPr>
          <w:rFonts w:hint="default" w:ascii="Times New Roman" w:hAnsi="Times New Roman" w:eastAsia="仿宋_GB2312" w:cs="Times New Roman"/>
          <w:sz w:val="28"/>
          <w:szCs w:val="36"/>
          <w:lang w:val="en-US" w:eastAsia="zh-CN"/>
        </w:rPr>
        <w:t>的办学定位吗?</w:t>
      </w:r>
    </w:p>
    <w:p w14:paraId="298921E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6.你知道</w:t>
      </w:r>
      <w:r>
        <w:rPr>
          <w:rFonts w:hint="eastAsia" w:ascii="Times New Roman" w:hAnsi="Times New Roman" w:eastAsia="仿宋_GB2312" w:cs="Times New Roman"/>
          <w:sz w:val="28"/>
          <w:szCs w:val="36"/>
          <w:lang w:val="en-US" w:eastAsia="zh-CN"/>
        </w:rPr>
        <w:t>豫北医学院</w:t>
      </w:r>
      <w:r>
        <w:rPr>
          <w:rFonts w:hint="default" w:ascii="Times New Roman" w:hAnsi="Times New Roman" w:eastAsia="仿宋_GB2312" w:cs="Times New Roman"/>
          <w:sz w:val="28"/>
          <w:szCs w:val="36"/>
          <w:lang w:val="en-US" w:eastAsia="zh-CN"/>
        </w:rPr>
        <w:t>的办学宗旨和目标的确定程序吗?是否参与过制定过程?是通过何种方式参与的?</w:t>
      </w:r>
    </w:p>
    <w:p w14:paraId="5D43813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7.你知道</w:t>
      </w:r>
      <w:r>
        <w:rPr>
          <w:rFonts w:hint="eastAsia" w:ascii="Times New Roman" w:hAnsi="Times New Roman" w:eastAsia="仿宋_GB2312" w:cs="Times New Roman"/>
          <w:sz w:val="28"/>
          <w:szCs w:val="36"/>
          <w:lang w:val="en-US" w:eastAsia="zh-CN"/>
        </w:rPr>
        <w:t>豫北医学院</w:t>
      </w:r>
      <w:r>
        <w:rPr>
          <w:rFonts w:hint="default" w:ascii="Times New Roman" w:hAnsi="Times New Roman" w:eastAsia="仿宋_GB2312" w:cs="Times New Roman"/>
          <w:sz w:val="28"/>
          <w:szCs w:val="36"/>
          <w:lang w:val="en-US" w:eastAsia="zh-CN"/>
        </w:rPr>
        <w:t>临床医学的培养目标是什么?</w:t>
      </w:r>
    </w:p>
    <w:p w14:paraId="37E3AF1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8.你了解临床医学专业的教学计划(或培养方案)吗? 是通过什么途径知晓的?</w:t>
      </w:r>
    </w:p>
    <w:p w14:paraId="1D16921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sz w:val="28"/>
          <w:szCs w:val="36"/>
          <w:lang w:val="en-US" w:eastAsia="zh-CN"/>
        </w:rPr>
        <w:t>9</w:t>
      </w:r>
      <w:r>
        <w:rPr>
          <w:rFonts w:hint="default" w:ascii="Times New Roman" w:hAnsi="Times New Roman" w:eastAsia="仿宋_GB2312" w:cs="Times New Roman"/>
          <w:sz w:val="28"/>
          <w:szCs w:val="36"/>
          <w:lang w:val="en-US" w:eastAsia="zh-CN"/>
        </w:rPr>
        <w:t>.</w:t>
      </w:r>
      <w:r>
        <w:rPr>
          <w:rFonts w:hint="eastAsia" w:ascii="Times New Roman" w:hAnsi="Times New Roman" w:eastAsia="仿宋_GB2312" w:cs="Times New Roman"/>
          <w:sz w:val="28"/>
          <w:szCs w:val="36"/>
          <w:lang w:val="en-US" w:eastAsia="zh-CN"/>
        </w:rPr>
        <w:t>豫北医学院</w:t>
      </w:r>
      <w:r>
        <w:rPr>
          <w:rFonts w:hint="default" w:ascii="Times New Roman" w:hAnsi="Times New Roman" w:eastAsia="仿宋_GB2312" w:cs="Times New Roman"/>
          <w:sz w:val="28"/>
          <w:szCs w:val="36"/>
          <w:lang w:val="en-US" w:eastAsia="zh-CN"/>
        </w:rPr>
        <w:t>的医科教育教学资源是否充足?你认为还有哪些方面需要加强建设?</w:t>
      </w:r>
    </w:p>
    <w:p w14:paraId="645728F7">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二、教师部分</w:t>
      </w:r>
    </w:p>
    <w:p w14:paraId="3FE4974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1.你了解你校临床医学专业学生的培养目标吗?在教学活动中是通过什么方式来实现培养目标的?</w:t>
      </w:r>
    </w:p>
    <w:p w14:paraId="5ADCE48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2.你了解临床医学专业(五年制)学生在校学习期间的整体教学安排吗?</w:t>
      </w:r>
    </w:p>
    <w:p w14:paraId="1C3BE7D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3.你了解课程整合的意义吗?你对课程整合改革有何思考?</w:t>
      </w:r>
    </w:p>
    <w:p w14:paraId="6AA975C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4.学校医科近年来持续开展教学改革，你参与了哪些改革吗?成效如何?</w:t>
      </w:r>
    </w:p>
    <w:p w14:paraId="2224695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5.对PBL相关背景知识了解吗?你有开展PBL教学经历吗?对这种教学模式或教学方法有何思考?</w:t>
      </w:r>
    </w:p>
    <w:p w14:paraId="76CFA71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6.学校和学部、学院定期召开教学工作会议、教职工代表会议，你曾参加过哪些会议?最近一次参加的相关会议是何时召开的?关于什么内容?</w:t>
      </w:r>
    </w:p>
    <w:p w14:paraId="0AFEB99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7.学校设有教师教学发展中心，你参加过其中的活动吗?你对教师发展中心开展的工作有何建议?</w:t>
      </w:r>
    </w:p>
    <w:p w14:paraId="77FF18E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8.你了解学校师资队伍建设的政策措施吗?有何建议?</w:t>
      </w:r>
    </w:p>
    <w:p w14:paraId="43BEDB5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9.学校、学院(医院)定期举办教育教学专家报告或讲座，你是否经常参加?</w:t>
      </w:r>
    </w:p>
    <w:p w14:paraId="509076E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10.学校有教师培训机制，你是否参加过教学进修学习?是否有出国学习的机会?</w:t>
      </w:r>
    </w:p>
    <w:p w14:paraId="0746D3C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11.你所承担的课程是如何组织教学的?采用哪些教学方法?近年来进行了哪些改革?</w:t>
      </w:r>
    </w:p>
    <w:p w14:paraId="25074D8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12.科研任务繁重的情况下，是如何保证教学质量的?</w:t>
      </w:r>
    </w:p>
    <w:p w14:paraId="558C8C7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13.在实验课教学中，你遇到的困难是什么?有何解决办法和建议?</w:t>
      </w:r>
    </w:p>
    <w:p w14:paraId="1E09B2B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14.实验室对尸体标本、三废等是如何处理的?</w:t>
      </w:r>
    </w:p>
    <w:p w14:paraId="4FEEC8B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15.医学基础课程是否安排来自临床一线教师承担部 分教学任务?</w:t>
      </w:r>
    </w:p>
    <w:p w14:paraId="37A38C9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16.临床技能中心是否有来自临床一线教师参与日常教学和管理?</w:t>
      </w:r>
    </w:p>
    <w:p w14:paraId="0FA938B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17.在临床阶段，教师如何培养学生的交流沟通技巧?</w:t>
      </w:r>
    </w:p>
    <w:p w14:paraId="2451DC4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18.你所承担的课程是否涉及不同专业?对于不同专业是否使用同一套教案和讲稿?</w:t>
      </w:r>
    </w:p>
    <w:p w14:paraId="6566DC7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19.最新版的教案是什么时候准备的，通常多长时间更新一次上课讲稿?是如何保存的?</w:t>
      </w:r>
    </w:p>
    <w:p w14:paraId="23DF6A9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20.你所在的教研室(或科室)有开展集体备课吗? 你在过去一年参加过几次集体备课?是否安排预讲或试讲环节?你听过本教研室其他老师的课吗?</w:t>
      </w:r>
    </w:p>
    <w:p w14:paraId="2755640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21.你了解形成性评价吗?在教学中，你是否应用形成性评价方法?是如何实施的?</w:t>
      </w:r>
    </w:p>
    <w:p w14:paraId="6CF9A7D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22.你了解考试结果分析与反馈制度吗?考试分析结果是如何向师生反馈的?</w:t>
      </w:r>
    </w:p>
    <w:p w14:paraId="084DC26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23.教研室是否对课程考试质量进行分析?分析结果是如何反馈到教学的?</w:t>
      </w:r>
    </w:p>
    <w:p w14:paraId="50B46F0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24.你了解学校采用的教学过程评价方式吗?是否看到过教学管理人员、各级督导检查教学或听课?</w:t>
      </w:r>
    </w:p>
    <w:p w14:paraId="378B9E6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25.你参加过学校获学院组织的观摩教学吗?对你有 何帮助?</w:t>
      </w:r>
    </w:p>
    <w:p w14:paraId="4CF1F19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26.在督导听课、教学检查、学生评教或考试后，你是如何得到反馈意见的?又是如何将反馈意见落实的?</w:t>
      </w:r>
    </w:p>
    <w:p w14:paraId="55DA2BC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27.你每学年的教学工作量是多少?周六、周日或晚上的时间需要上课吗?教学任务最多的一天需要上多少学时的课?</w:t>
      </w:r>
    </w:p>
    <w:p w14:paraId="19CA86C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28.你是如何开展教学研究的?有否承担教研项目? 成效如何?发表过教研论文吗?</w:t>
      </w:r>
    </w:p>
    <w:p w14:paraId="3A67A94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29.你是否指导过本科生开展科研活动?是怎样指导他们的，有何成效?</w:t>
      </w:r>
    </w:p>
    <w:p w14:paraId="1F5E479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30.在实际工作中，科研工作是如何促进教学的?</w:t>
      </w:r>
    </w:p>
    <w:p w14:paraId="2043860A">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三、学生部分</w:t>
      </w:r>
    </w:p>
    <w:p w14:paraId="5ED9B6C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1.你是否了解本专业的教学计划(人才培养方案)? 你是通过什么途径知晓的?</w:t>
      </w:r>
    </w:p>
    <w:p w14:paraId="61B1C0D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2.你是否了解自己在校学习期间的整体教学安排?</w:t>
      </w:r>
    </w:p>
    <w:p w14:paraId="1A84618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3.学校定期通过教学计划认证研讨会、期中教学检查、师生座谈会、学习经验交流会等形式征求广大师生对教学计划的意见和建议，你参加过哪些活动?你提过什么建议?是否被采纳?</w:t>
      </w:r>
    </w:p>
    <w:p w14:paraId="204491B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4.你是否参加过教学管理部门组织召开的学生座谈会?讨论和解决过哪些问题?</w:t>
      </w:r>
    </w:p>
    <w:p w14:paraId="5A09286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5.你了解学校采用的教学过程评价方式吗?是否看过教学管理人员、各级督导检查教学或听课?</w:t>
      </w:r>
    </w:p>
    <w:p w14:paraId="5E580C2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6.你对本专业的师资配备、教学条件、教学管理和学生管理感到满意吗?有何改进建议?</w:t>
      </w:r>
    </w:p>
    <w:p w14:paraId="06CF03C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7. 你每天有多少可自由支配的自学时间?是否充 足?有何改进建议?</w:t>
      </w:r>
    </w:p>
    <w:p w14:paraId="59F5B80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8.你是否参加过“三早”活动?是如何参加的?有何收获?</w:t>
      </w:r>
    </w:p>
    <w:p w14:paraId="62140B6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9.学校以课程、讲座和项目等多种形式对本科生开展科研能力培养和训练，你参加过哪些活动?有何收获吗?</w:t>
      </w:r>
    </w:p>
    <w:p w14:paraId="30B3159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10.在临床见习过程中，你参与过哪些临床实践教学活动?印象最深的是什么,请举例说明。</w:t>
      </w:r>
    </w:p>
    <w:p w14:paraId="36493EA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11.在临床实习过程中，你参与过哪些临床实践教学活动?印象最深刻的是什么,请举例说明。</w:t>
      </w:r>
    </w:p>
    <w:p w14:paraId="2AFFC7E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12.在临床实习过程中，你参加过哪些手术?在手术中承担过什么角色?</w:t>
      </w:r>
    </w:p>
    <w:p w14:paraId="0C94AE0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13.请你整体思考和回顾一下，自己在哪些素质、知识、能力方面最需要补充和加强?</w:t>
      </w:r>
    </w:p>
    <w:p w14:paraId="6C4CE79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14.你知道学生可以通过哪些渠道或机制参与学校管理吗?关于学生参与管理，你有何思考和建议?</w:t>
      </w:r>
    </w:p>
    <w:p w14:paraId="06B2437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15.如果你或你的同学对学业成绩有质疑，可否向学校提出成绩复核申请?</w:t>
      </w:r>
    </w:p>
    <w:p w14:paraId="1345BD0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16.如果你或你的同学对学校的处理决定不服，可否向学校提出申诉?</w:t>
      </w:r>
    </w:p>
    <w:p w14:paraId="5E147DE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17.当你或你的同学遇到生活、经济、健康、学业、情绪方面的问题时，会找谁解决?如何寻求学校的帮助?</w:t>
      </w:r>
    </w:p>
    <w:p w14:paraId="1CBA9F0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18.社会上对医疗行业和医生存在比较消极的看法，同学们如何看待?</w:t>
      </w:r>
    </w:p>
    <w:p w14:paraId="2BEE5400">
      <w:pPr>
        <w:numPr>
          <w:ilvl w:val="0"/>
          <w:numId w:val="0"/>
        </w:numPr>
        <w:spacing w:before="78" w:line="360" w:lineRule="auto"/>
        <w:ind w:left="4" w:leftChars="0" w:firstLine="544" w:firstLineChars="200"/>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四、各职能部门部分</w:t>
      </w:r>
    </w:p>
    <w:p w14:paraId="50FE0CE0">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各级教学管理部门：</w:t>
      </w:r>
    </w:p>
    <w:p w14:paraId="2C256FF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1.你了解学校的考试管理制度吗?学校是如何进行考务培训、考试安排和考场监控的?</w:t>
      </w:r>
    </w:p>
    <w:p w14:paraId="567409A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2.学校是如何发挥综合性大学优势加强医学生人文素质培养的?</w:t>
      </w:r>
    </w:p>
    <w:p w14:paraId="7D242D9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3.基础医学老师是否有机会接触临床?通过何种渠道?有常规机制吗?</w:t>
      </w:r>
    </w:p>
    <w:p w14:paraId="7628BD9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4.学校通过实施实践教学保障措施保证临床实践教学质量，你了解相关措施吗?如何对见习、实习进行严格监管?</w:t>
      </w:r>
    </w:p>
    <w:p w14:paraId="7BE2ECD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5.临床实习阶段，学生有的要考研</w:t>
      </w:r>
      <w:r>
        <w:rPr>
          <w:rFonts w:hint="eastAsia" w:ascii="Times New Roman" w:hAnsi="Times New Roman" w:eastAsia="仿宋_GB2312" w:cs="Times New Roman"/>
          <w:sz w:val="28"/>
          <w:szCs w:val="36"/>
          <w:lang w:val="en-US" w:eastAsia="zh-CN"/>
        </w:rPr>
        <w:t>，</w:t>
      </w:r>
      <w:r>
        <w:rPr>
          <w:rFonts w:hint="default" w:ascii="Times New Roman" w:hAnsi="Times New Roman" w:eastAsia="仿宋_GB2312" w:cs="Times New Roman"/>
          <w:sz w:val="28"/>
          <w:szCs w:val="36"/>
          <w:lang w:val="en-US" w:eastAsia="zh-CN"/>
        </w:rPr>
        <w:t>有的要找工作，用什么制度来约束实习纪律和保证实习质量?</w:t>
      </w:r>
    </w:p>
    <w:p w14:paraId="3C69B7C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6. 带教老师平时对病历做修改是否详细?</w:t>
      </w:r>
    </w:p>
    <w:p w14:paraId="5832A2C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7. 在临床实践考试中，是怎样运作OSCE 考试的?</w:t>
      </w:r>
    </w:p>
    <w:p w14:paraId="55E31036">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各级学生管理部门：</w:t>
      </w:r>
    </w:p>
    <w:p w14:paraId="19F4173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1.学校是如何管理和帮助特困学生，以及情绪、心理或健康等方面遭遇困境的学生的?</w:t>
      </w:r>
    </w:p>
    <w:p w14:paraId="16C5334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2.学生中是否有组织地收集学生的意见与信息?</w:t>
      </w:r>
    </w:p>
    <w:p w14:paraId="03CD63D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3.学生可通过哪些渠道或机制参与学校管理?</w:t>
      </w:r>
    </w:p>
    <w:p w14:paraId="505E46D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4.在校医学生的贫困生比例是多少?学校为他们提供有哪些助学政策和岗位机会?</w:t>
      </w:r>
    </w:p>
    <w:p w14:paraId="595C316B">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大学生就业指导中心：</w:t>
      </w:r>
    </w:p>
    <w:p w14:paraId="05832DF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1.医学生毕业后，是否开展毕业生相关情况调查，客观评价指标有哪些?</w:t>
      </w:r>
    </w:p>
    <w:p w14:paraId="387943D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2.学校是否建立有用人单位常规反馈情况的机制和渠道?</w:t>
      </w:r>
    </w:p>
    <w:p w14:paraId="1386E3CE">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人事处：</w:t>
      </w:r>
    </w:p>
    <w:p w14:paraId="5AA9BED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1.在承担基础医学教学的师资中，有医学背景的有多少?</w:t>
      </w:r>
    </w:p>
    <w:p w14:paraId="258BB6D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2.临床师资晋升副教授和教授的要求是什么?</w:t>
      </w:r>
    </w:p>
    <w:p w14:paraId="722BBA4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3.医科教师职称晋升有特别政策吗?</w:t>
      </w:r>
    </w:p>
    <w:p w14:paraId="57AA4EB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4.对教学做出贡献的教师晋升时是否可享受特殊的 “绿色通道?</w:t>
      </w:r>
    </w:p>
    <w:p w14:paraId="44A909A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5.学校每年引进医学人才，有什么要求?如不合适，能解聘吗?</w:t>
      </w:r>
    </w:p>
    <w:p w14:paraId="6CDD5E6B">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财务处、实验室与设备管理处、后勤管理处：</w:t>
      </w:r>
    </w:p>
    <w:p w14:paraId="1C371FC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1.财务处在经费投入上是否考虑医学教育的特殊性?请简要说明情况。</w:t>
      </w:r>
    </w:p>
    <w:p w14:paraId="6E5A7AA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 财务处、国有资产管理处、后勤管理处在医学教育资源配置上，是否有适当的倾斜?请简要说明情况。</w:t>
      </w:r>
    </w:p>
    <w:p w14:paraId="3E133E5A">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图书馆</w:t>
      </w:r>
    </w:p>
    <w:p w14:paraId="37BDE06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1.图书馆在图书购置、信息服务方面是否考虑考虑医学教育的特殊性?</w:t>
      </w:r>
    </w:p>
    <w:p w14:paraId="14A694A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2.医学生在借阅医学类图书的情况如何?医学图书馆为医学生提供哪些服务?</w:t>
      </w:r>
    </w:p>
    <w:p w14:paraId="582A45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30330D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3D66B2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52B564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5EA1B3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4CDEF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61AFFE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6310A0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3145D1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28"/>
          <w:szCs w:val="36"/>
          <w:lang w:val="en-US" w:eastAsia="zh-CN"/>
        </w:rPr>
      </w:pPr>
    </w:p>
    <w:p w14:paraId="1584EEC0">
      <w:pPr>
        <w:keepNext w:val="0"/>
        <w:keepLines w:val="0"/>
        <w:pageBreakBefore w:val="0"/>
        <w:widowControl w:val="0"/>
        <w:numPr>
          <w:ilvl w:val="0"/>
          <w:numId w:val="0"/>
        </w:numPr>
        <w:kinsoku/>
        <w:wordWrap/>
        <w:overflowPunct/>
        <w:topLinePunct w:val="0"/>
        <w:autoSpaceDE/>
        <w:autoSpaceDN/>
        <w:bidi w:val="0"/>
        <w:adjustRightInd w:val="0"/>
        <w:snapToGrid w:val="0"/>
        <w:spacing w:before="155" w:line="360" w:lineRule="auto"/>
        <w:jc w:val="center"/>
        <w:textAlignment w:val="auto"/>
        <w:outlineLvl w:val="0"/>
        <w:rPr>
          <w:rFonts w:hint="default" w:ascii="方正小标宋简体" w:hAnsi="方正小标宋简体" w:eastAsia="方正小标宋简体" w:cs="方正小标宋简体"/>
          <w:spacing w:val="-1"/>
          <w:kern w:val="2"/>
          <w:sz w:val="36"/>
          <w:szCs w:val="36"/>
          <w:lang w:val="en-US" w:eastAsia="zh-CN" w:bidi="ar-SA"/>
        </w:rPr>
      </w:pPr>
      <w:r>
        <w:rPr>
          <w:rFonts w:hint="default" w:ascii="方正小标宋简体" w:hAnsi="方正小标宋简体" w:eastAsia="方正小标宋简体" w:cs="方正小标宋简体"/>
          <w:spacing w:val="-1"/>
          <w:kern w:val="2"/>
          <w:sz w:val="36"/>
          <w:szCs w:val="36"/>
          <w:lang w:val="en-US" w:eastAsia="zh-CN" w:bidi="ar-SA"/>
        </w:rPr>
        <w:t>中国本科医学教育标准—临床医学专业</w:t>
      </w:r>
    </w:p>
    <w:p w14:paraId="709C8172">
      <w:pPr>
        <w:keepNext w:val="0"/>
        <w:keepLines w:val="0"/>
        <w:pageBreakBefore w:val="0"/>
        <w:widowControl w:val="0"/>
        <w:numPr>
          <w:ilvl w:val="0"/>
          <w:numId w:val="0"/>
        </w:numPr>
        <w:kinsoku/>
        <w:wordWrap/>
        <w:overflowPunct/>
        <w:topLinePunct w:val="0"/>
        <w:autoSpaceDE/>
        <w:autoSpaceDN/>
        <w:bidi w:val="0"/>
        <w:adjustRightInd w:val="0"/>
        <w:snapToGrid w:val="0"/>
        <w:spacing w:before="155" w:line="360" w:lineRule="auto"/>
        <w:jc w:val="center"/>
        <w:textAlignment w:val="auto"/>
        <w:outlineLvl w:val="0"/>
        <w:rPr>
          <w:rFonts w:hint="default" w:ascii="Times New Roman" w:hAnsi="Times New Roman" w:eastAsia="仿宋_GB2312" w:cs="Times New Roman"/>
          <w:sz w:val="28"/>
          <w:szCs w:val="36"/>
          <w:lang w:val="en-US" w:eastAsia="zh-CN"/>
        </w:rPr>
      </w:pPr>
      <w:r>
        <w:rPr>
          <w:rFonts w:hint="default" w:ascii="方正小标宋简体" w:hAnsi="方正小标宋简体" w:eastAsia="方正小标宋简体" w:cs="方正小标宋简体"/>
          <w:spacing w:val="-1"/>
          <w:kern w:val="2"/>
          <w:sz w:val="36"/>
          <w:szCs w:val="36"/>
          <w:lang w:val="en-US" w:eastAsia="zh-CN" w:bidi="ar-SA"/>
        </w:rPr>
        <w:t>（2022 版）</w:t>
      </w:r>
    </w:p>
    <w:p w14:paraId="33F94F0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32E3AD5B">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jc w:val="center"/>
        <w:textAlignment w:val="auto"/>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前言</w:t>
      </w:r>
    </w:p>
    <w:p w14:paraId="7C5CA62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医学教育承载着培养医药卫生人才的使命，与全民健康息息相关。自 2008 年教育部和原卫生部颁布《本科医学教育标准—临床医学专业（试行）》之后，我国逐步开展了本科临床医学专业认证工作，成立了教育部临床医学专业认证工作委员会（以下简称“工作委员会 ”），颁布了《临床医学专业认证指南（试行）》，初步建立了中国临床医学专业认证制度。2016 年，工作委员会正式发布《中国本科医学教育标准—临床医学专业（2016 版）》，并将其作为新一轮认证的依据。</w:t>
      </w:r>
    </w:p>
    <w:p w14:paraId="3098B49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2020 年 6 月，工作委员会正式获得世界医学教育联合会（World Federation for Medical Education，WFME）医学教育认证机构认定，标志着我国医学教育标准和认证体系已实现国际实质等效，医学教育认证质量得到了国际认可。截至2021 年底，工作委员会完成了我国高等医学院校的本科临床医学专业首轮认证。</w:t>
      </w:r>
    </w:p>
    <w:p w14:paraId="63A797B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为保证医学教育标准的与时俱进，更好地推进新一轮本科临床医学专业认证实践，工作委员会总结我国本科临床医学专业认证的有益经验，及时引进医学教育最新理念，于 2021 年启动对 2016 版标准的修订工作，形成《中国本科医学教育标准—临床医学专业（2022 版）》。</w:t>
      </w:r>
    </w:p>
    <w:p w14:paraId="1AB019A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2022 版标准仍由临床医学专业本科毕业生应达到的基本要求和</w:t>
      </w:r>
    </w:p>
    <w:p w14:paraId="049478A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临床医学专业本科医学教育办学标准两部分组成。在临床医学专业本科医学教育办学标准部分，仍分为基本标准（basic standards，B）</w:t>
      </w:r>
    </w:p>
    <w:p w14:paraId="101E692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和发展标准（ quality development standards，Q）。基本标准为所有举办临床医学专业本科教育的院校都必须达到的标准，用“必须”来表达。发展标准为国际所倡导的本科临床医学教育高标准，体现了医学教育发展的方向，用“应当 ”来表达，达成情况因各医学院校的不同发展阶段、资源状况和教育政策而有所不同。与 2016 版标准相比，2022 版办学标准部分的主领域仍为 10 个，亚领域仍为40 个；条目由原来的 113 条基本标准和80 条发展标准调整为 117 条基本标准和 76 条发展标准。同时，为增加可读性，对注释内容增加了数字索引（annotations, A），共 86 条。</w:t>
      </w:r>
    </w:p>
    <w:p w14:paraId="559F25C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本标准适用于临床医学专业本科教育阶段，是临床医学专业认证的依据。本科医学教育是医学教育连续体中的第一阶段，其根本任务是培养完成医学基本训练，具有初步临床能力、终身学习能力和良好职业精神与素养的医学毕业生。本科医学教育为学生接受毕业后教育和在各类卫生保健机构执业奠定必要的基础。医学本科毕业生胜任临床工作的专业能力需要在毕业后医学教育、继续职业发展和持续医疗实践中逐渐形成与提高。</w:t>
      </w:r>
    </w:p>
    <w:p w14:paraId="252C57D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本标准反映医学教育的国际趋势、国内现状和社会期待，是制订教育计划和规范教学管理的依据。各医学院校应在标准的指导下，确立自身的办学定位，制订专业的培养目标和课程计划，建立教育评价体系和质量保障机制。</w:t>
      </w:r>
    </w:p>
    <w:p w14:paraId="6526C8E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本标准承认不同地区和学校之间的差异，尊重学校办学自主权。在遵循医学教育基本规律的前提下，除必要的要求外，不对课程计划提出过多具体的、强制性的规定，为各校的发展及办学留下充分的空间。应该着重强调的是，本标准贯彻党的教育方针，坚持立德树人，致力于指导我国临床医学专业办学实践，提高医学人才培养质量。</w:t>
      </w:r>
    </w:p>
    <w:p w14:paraId="12B8912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5B6F1EDC">
      <w:pPr>
        <w:keepNext w:val="0"/>
        <w:keepLines w:val="0"/>
        <w:pageBreakBefore w:val="0"/>
        <w:widowControl w:val="0"/>
        <w:numPr>
          <w:ilvl w:val="0"/>
          <w:numId w:val="0"/>
        </w:numPr>
        <w:kinsoku/>
        <w:wordWrap/>
        <w:overflowPunct/>
        <w:topLinePunct w:val="0"/>
        <w:autoSpaceDE/>
        <w:autoSpaceDN/>
        <w:bidi w:val="0"/>
        <w:adjustRightInd w:val="0"/>
        <w:snapToGrid w:val="0"/>
        <w:spacing w:before="155" w:line="360" w:lineRule="auto"/>
        <w:jc w:val="center"/>
        <w:textAlignment w:val="auto"/>
        <w:outlineLvl w:val="0"/>
        <w:rPr>
          <w:rFonts w:hint="default" w:ascii="方正小标宋简体" w:hAnsi="方正小标宋简体" w:eastAsia="方正小标宋简体" w:cs="方正小标宋简体"/>
          <w:spacing w:val="-1"/>
          <w:kern w:val="2"/>
          <w:sz w:val="36"/>
          <w:szCs w:val="36"/>
          <w:lang w:val="en-US" w:eastAsia="zh-CN" w:bidi="ar-SA"/>
        </w:rPr>
      </w:pPr>
      <w:r>
        <w:rPr>
          <w:rFonts w:hint="default" w:ascii="方正小标宋简体" w:hAnsi="方正小标宋简体" w:eastAsia="方正小标宋简体" w:cs="方正小标宋简体"/>
          <w:spacing w:val="-1"/>
          <w:kern w:val="2"/>
          <w:sz w:val="36"/>
          <w:szCs w:val="36"/>
          <w:lang w:val="en-US" w:eastAsia="zh-CN" w:bidi="ar-SA"/>
        </w:rPr>
        <w:t>临床医学专业本科毕业生应达到的基本要求</w:t>
      </w:r>
    </w:p>
    <w:p w14:paraId="09CD585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31C8AEB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中国临床医学专业本科毕业生应树立正确的世界观、人生观、价值观，热爱祖国，忠于人民，遵纪守法，愿为祖国医药卫生与健康事业的发展和人类身心健康奋斗终生。</w:t>
      </w:r>
    </w:p>
    <w:p w14:paraId="18127E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中国临床医学专业本科毕业生应达到的基本要求分为四个领域：科学和学术、临床能力、健康与社会、职业精神与素养。每所院校可根据实际情况，对毕业生的预期结果提出更具体的要求。</w:t>
      </w:r>
    </w:p>
    <w:p w14:paraId="7E7928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教育是一个包括院校教育、毕业后教育和继续职业发展的连续过程。经过院校教育的本科毕业生具备了相应的从业基础，但尚不具备丰富的临床经验，这就要求他们在日新月异的医学进步环境中保持其医学业务水平的持续更新。毕业生在校期间获得的教育培训以及掌握的科学方法将为他们终身学习与发展提供支撑。</w:t>
      </w:r>
    </w:p>
    <w:p w14:paraId="1BA1BF4E">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ind w:left="4" w:leftChars="0" w:firstLine="544" w:firstLineChars="200"/>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1.科学和学术领域</w:t>
      </w:r>
    </w:p>
    <w:p w14:paraId="5C36C6F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1.1  具备自然科学、人文社会科学、医学等学科的基础知识，掌握科学方法，并能用于指导未来的学习和医学实践。</w:t>
      </w:r>
    </w:p>
    <w:p w14:paraId="74DA0BF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1.2  能够应用医学等科学知识处理个体、群体和卫生系统中与医学或者健康相关的问题。</w:t>
      </w:r>
    </w:p>
    <w:p w14:paraId="4CDE00D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1.3 能够理解和描述生命各阶段疾病的预防和疾病的病因、发病机制、病程、临床表现、诊断、治疗、转归、预后及康复。</w:t>
      </w:r>
    </w:p>
    <w:p w14:paraId="74D85DC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1.4  能够掌握中医药学的基本特点和诊疗基本原则。</w:t>
      </w:r>
    </w:p>
    <w:p w14:paraId="104AADA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1.5 能够获取、甄别、理解并应用医学等科学文献中的证据。</w:t>
      </w:r>
    </w:p>
    <w:p w14:paraId="0F01E9E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1.6  能够应用常用的科学方法，提出相应的科学问题并进行探讨。</w:t>
      </w:r>
    </w:p>
    <w:p w14:paraId="501783AA">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ind w:left="4" w:leftChars="0" w:firstLine="544" w:firstLineChars="200"/>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2.临床能力领域</w:t>
      </w:r>
    </w:p>
    <w:p w14:paraId="19E473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2.1  具有良好的交流沟通能力，能够与患者及其家属或监护人、同行和其他卫生专业人员等进行有效的交流。</w:t>
      </w:r>
    </w:p>
    <w:p w14:paraId="2800E23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2.2 能够全面、系统、正确地采集病史。</w:t>
      </w:r>
    </w:p>
    <w:p w14:paraId="6258CCC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2.3 能够系统、规范地进行体格检查及精神状态评价，规范地书写病历。</w:t>
      </w:r>
    </w:p>
    <w:p w14:paraId="2D3D33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2.4 能够依据病史和体格检查中的发现，形成初步判断，并进行鉴别诊断，提出合理的治疗原则。</w:t>
      </w:r>
    </w:p>
    <w:p w14:paraId="5928DF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2.5 能够根据患者的病情、安全和成本效益等因素，选择适宜的临床检查方法并说明其合理性，对检查结果能做出判断和解释。</w:t>
      </w:r>
    </w:p>
    <w:p w14:paraId="1823C91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2.6 能够选择并安全地实施常用的临床基本操作。</w:t>
      </w:r>
    </w:p>
    <w:p w14:paraId="5300D5A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2.7 能够根据不断获取的证据做出临床判断和决策，在上级医师指导下确定进一步的诊疗方案并说明其合理性。</w:t>
      </w:r>
    </w:p>
    <w:p w14:paraId="64A4E30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2.8 能够了解患者的问题、意见、关注点和偏好，使患者及其家属或监护人充分理解病情；就诊疗方案的风险和益处同患者及其家属或监护人进行沟通，并共同制订诊疗计划（医患共同决策）。</w:t>
      </w:r>
    </w:p>
    <w:p w14:paraId="25358C4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2.9 能够及时向患者及其家属或监护人提供相关信息，使他们在充分知情的前提下选择诊疗方案。</w:t>
      </w:r>
    </w:p>
    <w:p w14:paraId="48974F0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2.10  能够将疾病预防、早期发现、卫生保健和慢性疾病管理等知识和理念应用于临床实践。</w:t>
      </w:r>
    </w:p>
    <w:p w14:paraId="2F1DAE7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2.11  能够依据客观证据，提出安全、有效、经济的治疗方案。</w:t>
      </w:r>
    </w:p>
    <w:p w14:paraId="2C9DEB0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2.12  能够发现并评价病情的变化及严重程度，对需要紧急处理的患者进行可能的急救处理。</w:t>
      </w:r>
    </w:p>
    <w:p w14:paraId="5F76C91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2.13  能够掌握临终患者的治疗原则，与患者家属或监护人沟通。用对症、心理支持等姑息治疗的方法达到人道主义的目的，提高患者的死亡质量。</w:t>
      </w:r>
    </w:p>
    <w:p w14:paraId="192D3F9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1CF2F15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2.14  能够在临床信息系统中有效地检索、解读和记录信息。</w:t>
      </w:r>
    </w:p>
    <w:p w14:paraId="39C85D96">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ind w:left="4" w:leftChars="0" w:firstLine="544" w:firstLineChars="200"/>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3.健康与社会领域</w:t>
      </w:r>
    </w:p>
    <w:p w14:paraId="0B3D518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3.1  具有保护并促进个体和人群健康的责任意识。</w:t>
      </w:r>
    </w:p>
    <w:p w14:paraId="3768452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3.2  能够了解影响人群健康、疾病诊断和有效治疗的因素，包括健康公平性、文化和社会价值观的多样性，以及社会经济、心理状态和自然环境等因素。</w:t>
      </w:r>
    </w:p>
    <w:p w14:paraId="1672EA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3.3  能够在不同情境下以不同的角色进行有效沟通，如医生、健康倡导者、研究者等。</w:t>
      </w:r>
    </w:p>
    <w:p w14:paraId="7186703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3.4  能够解释和评估人群的健康检查和预防措施，包括人群健康状况的监测、患者随访、用药、康复治疗及其他方面的指导等。</w:t>
      </w:r>
    </w:p>
    <w:p w14:paraId="493AB7A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3.5  能够了解医院医疗质量保障和医疗安全管理体系，明确自己的业务能力与权限，重视患者安全，及时识别对患者不利的危险因素。</w:t>
      </w:r>
    </w:p>
    <w:p w14:paraId="0EDEAA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3.6  能够了解我国医疗卫生系统的结构和功能，以及各组成部门的职能和相互关系，理解合理分配有限资源的原则，以满足个人、群体和国家对健康的需求。</w:t>
      </w:r>
    </w:p>
    <w:p w14:paraId="73AECD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3.7  能够了解全球健康问题以及健康和疾病的影响因素。</w:t>
      </w:r>
    </w:p>
    <w:p w14:paraId="267C8931">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ind w:left="4" w:leftChars="0" w:firstLine="544" w:firstLineChars="200"/>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4.职业精神与素养领域</w:t>
      </w:r>
    </w:p>
    <w:p w14:paraId="07DC775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4.1  能够根据《中国医师道德准则》，为所有患者提供人道主义的医疗服务。</w:t>
      </w:r>
    </w:p>
    <w:p w14:paraId="0349862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4.2  能够了解医疗卫生领域职业精神的内涵，在工作中养成同理心、尊重患者和提供优质服务等行为，形成真诚、正直、团队合作和领导力等素养。</w:t>
      </w:r>
    </w:p>
    <w:p w14:paraId="27C0C4D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4.3  能够掌握医学伦理学的主要原理，并将其应用于医疗服务中。能够与患者及其家属或监护人、同行和其他卫生专业人员等有效地沟通伦理问题。</w:t>
      </w:r>
    </w:p>
    <w:p w14:paraId="20D131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4.4  能够了解影响医生健康的因素，如疲劳、压力和交叉感染等，并注意在医疗服务中有意识地控制这些因素，同时知晓自身健康对患者可能构成的风险。</w:t>
      </w:r>
    </w:p>
    <w:p w14:paraId="162B7D2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4.5  能够了解并遵守医疗行业的基本法律法规和职业道德。</w:t>
      </w:r>
    </w:p>
    <w:p w14:paraId="3B5169C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4.6  能够意识到自己专业知识的局限性，尊重其他卫生从业人员，并注重相互合作和学习。</w:t>
      </w:r>
    </w:p>
    <w:p w14:paraId="7BF3473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4.7  树立自主学习、终身学习的观念，认识到持续自我完善的重要性，不断追求卓越。</w:t>
      </w:r>
    </w:p>
    <w:p w14:paraId="75B52A2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21B613E4">
      <w:pPr>
        <w:keepNext w:val="0"/>
        <w:keepLines w:val="0"/>
        <w:pageBreakBefore w:val="0"/>
        <w:widowControl w:val="0"/>
        <w:numPr>
          <w:ilvl w:val="0"/>
          <w:numId w:val="0"/>
        </w:numPr>
        <w:kinsoku/>
        <w:wordWrap/>
        <w:overflowPunct/>
        <w:topLinePunct w:val="0"/>
        <w:autoSpaceDE/>
        <w:autoSpaceDN/>
        <w:bidi w:val="0"/>
        <w:adjustRightInd w:val="0"/>
        <w:snapToGrid w:val="0"/>
        <w:spacing w:before="155" w:line="360" w:lineRule="auto"/>
        <w:jc w:val="center"/>
        <w:textAlignment w:val="auto"/>
        <w:outlineLvl w:val="0"/>
        <w:rPr>
          <w:rFonts w:hint="default" w:ascii="方正小标宋简体" w:hAnsi="方正小标宋简体" w:eastAsia="方正小标宋简体" w:cs="方正小标宋简体"/>
          <w:spacing w:val="-1"/>
          <w:kern w:val="2"/>
          <w:sz w:val="36"/>
          <w:szCs w:val="36"/>
          <w:lang w:val="en-US" w:eastAsia="zh-CN" w:bidi="ar-SA"/>
        </w:rPr>
      </w:pPr>
      <w:r>
        <w:rPr>
          <w:rFonts w:hint="default" w:ascii="方正小标宋简体" w:hAnsi="方正小标宋简体" w:eastAsia="方正小标宋简体" w:cs="方正小标宋简体"/>
          <w:spacing w:val="-1"/>
          <w:kern w:val="2"/>
          <w:sz w:val="36"/>
          <w:szCs w:val="36"/>
          <w:lang w:val="en-US" w:eastAsia="zh-CN" w:bidi="ar-SA"/>
        </w:rPr>
        <w:t>临床医学专业本科医学教育办学标准</w:t>
      </w:r>
    </w:p>
    <w:p w14:paraId="1DA5E17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7A018228">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1.宗旨与结果</w:t>
      </w:r>
    </w:p>
    <w:p w14:paraId="48A382B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1.1 宗旨</w:t>
      </w:r>
    </w:p>
    <w:p w14:paraId="0845432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4839005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11E5AB92">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具有明确的办学宗旨，并让全校师生员工、医疗卫生机构等利益相关方知晓。 （B 1.1. 1）</w:t>
      </w:r>
    </w:p>
    <w:p w14:paraId="594310D0">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在宗旨中阐述医学生培养的总体目标及实现策略，确保医学生在毕业时能够达到临床医学专业本科毕业生的基本要求。（B 1.1.2）</w:t>
      </w:r>
    </w:p>
    <w:p w14:paraId="612FA0ED">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确保宗旨在相关法律框架内满足医疗服务体系和公众健康的需求，同时兼顾其他方面的社会责任。（B 1.1.3）</w:t>
      </w:r>
    </w:p>
    <w:p w14:paraId="010372D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399474E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7EDF015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29DA44A2">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在宗旨中包括：</w:t>
      </w:r>
    </w:p>
    <w:p w14:paraId="0E96B47E">
      <w:pPr>
        <w:keepNext w:val="0"/>
        <w:keepLines w:val="0"/>
        <w:pageBreakBefore w:val="0"/>
        <w:widowControl w:val="0"/>
        <w:numPr>
          <w:ilvl w:val="1"/>
          <w:numId w:val="7"/>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医学研究的目标定位。（Q 1.1. 1）</w:t>
      </w:r>
    </w:p>
    <w:p w14:paraId="774C7568">
      <w:pPr>
        <w:keepNext w:val="0"/>
        <w:keepLines w:val="0"/>
        <w:pageBreakBefore w:val="0"/>
        <w:widowControl w:val="0"/>
        <w:numPr>
          <w:ilvl w:val="1"/>
          <w:numId w:val="7"/>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对大健康理念和全球卫生观念的要求。（Q 1.1.2） </w:t>
      </w:r>
    </w:p>
    <w:p w14:paraId="4773E7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09ADE9D3">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宗旨阐述医学教育办学的总体框架，包括办学定位、办学理念、人才培养目标等。宗旨的制定应与学校的资源、管理相适应，同时考虑地方与国家、区域与全球对医学的期望和发展的需要，并体现学校历史文化积淀和发展愿景。办学定位应体现学校的办学类型、办学层次、服务面向、发展目标等；办学理念应体现学校人才培养的教育思想和观念。（A 1.1. 1）</w:t>
      </w:r>
    </w:p>
    <w:p w14:paraId="0F3764F7">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是指提供本科临床医学专业教育的教育机构，可以是独立建制院校，也可以是综合性大学的一部分。医学院校还应包括附属医院及其他临床教学基地。医学院校不仅提供本科医学教育、开展研究、提供医疗服务，还可为医学教育的其他阶段或其他卫生相关行业提供教育方案和实施保障。（A 1.1.2）</w:t>
      </w:r>
    </w:p>
    <w:p w14:paraId="49A2E640">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满足公众健康的需求是指与当地卫生及其相关部门进行沟通，通过调整课程计划来表明对当地公众健康问题的了解和关注。 （A 1.1.3）</w:t>
      </w:r>
    </w:p>
    <w:p w14:paraId="5DDBDFAF">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社会责任是指有意愿和能力通过提高医疗服务、医学教育及医学研究能力来满足社会、患者、卫生及其相关部门的需要，促进国家和全球医学事业的发展。社会责任应以尊重医学院校办学自主权为基础。超出医学院校权限的问题，尤其是医疗卫生相关问题，可以通过表明态度、分析因果关系以及提出相应建议等方式展现其社会责任。（A 1.1.4）</w:t>
      </w:r>
    </w:p>
    <w:p w14:paraId="0D1D0A12">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医学研究包含生物与基础医学、临床医学、公共卫生与预防医学以及其他与医学相关的科学研究。（A 1.1.5）</w:t>
      </w:r>
    </w:p>
    <w:p w14:paraId="49B6A90E">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全球卫生观念是指对全球范围内不同区域主要健康问题的认知，包括对全球共同面临的健康问题和对因种族差异、地域差别、贫富不均等所引起的不平等与不公平的健康问题的认识，以及为应对这些健康问题的挑战而需要开展的跨学科、跨部门、多行为体参与的全球卫生治理的认识。（A 1.1.6）</w:t>
      </w:r>
    </w:p>
    <w:p w14:paraId="65DE9B7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1.2 宗旨制定过程的参与</w:t>
      </w:r>
    </w:p>
    <w:p w14:paraId="7D524F0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55FF3A6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201E377B">
      <w:pPr>
        <w:keepNext w:val="0"/>
        <w:keepLines w:val="0"/>
        <w:pageBreakBefore w:val="0"/>
        <w:widowControl w:val="0"/>
        <w:numPr>
          <w:ilvl w:val="0"/>
          <w:numId w:val="8"/>
        </w:numPr>
        <w:kinsoku/>
        <w:wordWrap/>
        <w:overflowPunct/>
        <w:topLinePunct w:val="0"/>
        <w:autoSpaceDE/>
        <w:autoSpaceDN/>
        <w:bidi w:val="0"/>
        <w:adjustRightInd w:val="0"/>
        <w:snapToGrid w:val="0"/>
        <w:spacing w:before="78" w:line="360" w:lineRule="auto"/>
        <w:ind w:left="420" w:leftChars="0" w:hanging="420" w:firstLineChars="0"/>
        <w:textAlignment w:val="auto"/>
        <w:outlineLvl w:val="1"/>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保证校内主要利益相关方参与宗旨的制定。（B 1.2. 1）</w:t>
      </w:r>
    </w:p>
    <w:p w14:paraId="7EF7663C">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E34247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71F564ED">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具有校外利益相关方参与宗旨制定的机制，并有效实施。（Q1.2. 1） </w:t>
      </w:r>
    </w:p>
    <w:p w14:paraId="74DAB66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68ABEEC6">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校内主要利益相关方包括教师、学生、校/院领导和行政管理人员。（A 1.2. 1）</w:t>
      </w:r>
    </w:p>
    <w:p w14:paraId="0A37F44A">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校外利益相关方包括相关政府机构和主管部门、用人单位、社区和公众代表、学术和管理部门、专业学术团体、医学科研组织和毕业后教育机构的代表等。（A 1.2.2）</w:t>
      </w:r>
    </w:p>
    <w:p w14:paraId="4E0152F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1.3 院校自主权和学术自由</w:t>
      </w:r>
    </w:p>
    <w:p w14:paraId="4059FA5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E96D43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02814265">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拥有在符合相关法律、法规的前提下，制定和实施各项政策的自主权，尤其是在以下方面：</w:t>
      </w:r>
    </w:p>
    <w:p w14:paraId="1B27E2D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54EF1B9A">
      <w:pPr>
        <w:keepNext w:val="0"/>
        <w:keepLines w:val="0"/>
        <w:pageBreakBefore w:val="0"/>
        <w:widowControl w:val="0"/>
        <w:numPr>
          <w:ilvl w:val="1"/>
          <w:numId w:val="9"/>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课程计划的制定。（B 1.3. 1）</w:t>
      </w:r>
    </w:p>
    <w:p w14:paraId="48462064">
      <w:pPr>
        <w:keepNext w:val="0"/>
        <w:keepLines w:val="0"/>
        <w:pageBreakBefore w:val="0"/>
        <w:widowControl w:val="0"/>
        <w:numPr>
          <w:ilvl w:val="1"/>
          <w:numId w:val="9"/>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课程计划实施所需资源的配置与使用。（B 1.3.2）</w:t>
      </w:r>
    </w:p>
    <w:p w14:paraId="282E0AFD">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得到大学自然科学、人文社会科学等学科对医学教育的学术支持。（B 1.3.3）</w:t>
      </w:r>
    </w:p>
    <w:p w14:paraId="279378A9">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保证教师和学生拥有学术自由。（B 1.3.4）</w:t>
      </w:r>
    </w:p>
    <w:p w14:paraId="6C3CCBD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2E9DA9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04E23B4F">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加强人文社会学科、自然学科与医学学科间的融合。（Q 1.3. 1） </w:t>
      </w:r>
    </w:p>
    <w:p w14:paraId="5DF7FF2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43A3DDC2">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院校自主权是指医学院校相对独立于政府或其他相关部门（区域及地方行政部门、私人合作方、行业协会、联盟和与临床医学专业相关的其他利益相关组织等），对招生、课程计划、评价考核、教师聘任及待遇、科研和资源配置等关键问题有自主决策权。院校自主权应以遵守国家法律法规和遵循医学教育基本发展规律为前提。（A 1.3. 1）</w:t>
      </w:r>
    </w:p>
    <w:p w14:paraId="2D2C01DC">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学术自由应以遵守国家法律法规为前提。（A 1.3.2）</w:t>
      </w:r>
    </w:p>
    <w:p w14:paraId="0700B00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1.4 教育结果</w:t>
      </w:r>
    </w:p>
    <w:p w14:paraId="3D06F50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414C0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3C0E0F32">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明确规定医学生毕业时在科学和学术、临床能力、健康与社会、职业精神与素养四大领域的基本要求，阐明与办学宗旨 目标相适应的毕业生教育结果。（B 1.4. 1）</w:t>
      </w:r>
    </w:p>
    <w:p w14:paraId="14D87DD3">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阐明学生在与同伴、教师、医疗服务领域其他从业者、患者及其家属或监护人相处时应有的恰当的行为方式。（B 1.4.2）</w:t>
      </w:r>
    </w:p>
    <w:p w14:paraId="43EA2D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6A33AD5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709E9AE">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明确建立院校教育结果和毕业后教育之间的关系。（Q 1.4. 1）</w:t>
      </w:r>
    </w:p>
    <w:p w14:paraId="51748728">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明确学生参与医学相关研究的要求以及期望的结果。（Q 1.4.2）</w:t>
      </w:r>
    </w:p>
    <w:p w14:paraId="414F52F5">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明确学生对于大健康与全球卫生状况认识水平的要求。（Q 1.4.3）</w:t>
      </w:r>
    </w:p>
    <w:p w14:paraId="017804D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353EF93D">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结果可以通过相应手段进行测量和评价，如学业考核、学生综合评价、学生发展和毕业生调查、就业与职业发展状况分析等。学业考核包括课程考核、毕业考核、医学院校临床医学专业（本科）水平测试、国家临床执业医师资格考试等。（A 1.4. 1）</w:t>
      </w:r>
    </w:p>
    <w:p w14:paraId="07BDE374">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2.课程计划</w:t>
      </w:r>
    </w:p>
    <w:p w14:paraId="3D9F6D9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2.1 课程计划的制定与实施</w:t>
      </w:r>
    </w:p>
    <w:p w14:paraId="7F887CA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3056D6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34A61E14">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依据医药卫生与健康事业的需要、医学科学的进步和医学模式的转变，制定与本校宗旨、目标、教育结果相适应的课程计划。 （B 2.1. 1）</w:t>
      </w:r>
    </w:p>
    <w:p w14:paraId="7879F061">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在课程计划中体现加强基础、培养能力、注重素质和发展个性的原则。（B 2.1.2）</w:t>
      </w:r>
    </w:p>
    <w:p w14:paraId="6832EF5B">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明确课程模式。（B 2.1.3）</w:t>
      </w:r>
    </w:p>
    <w:p w14:paraId="32E76EF9">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阐明根据不同的课程目标、内容和教学对象所采用的适宜教学方法。（B 2.1.4）</w:t>
      </w:r>
    </w:p>
    <w:p w14:paraId="448547C6">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确保课程计划和教学方法能够激发、培养和支持学生自主学习。 （B 2.1.5）</w:t>
      </w:r>
    </w:p>
    <w:p w14:paraId="596288B4">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以平等的原则实施课程计划。（B 2.1.6）</w:t>
      </w:r>
    </w:p>
    <w:p w14:paraId="5045193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155C24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27B0A264">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对学生自主学习和终身学习能力的培养有科学、系统的设计与实施。（Q 2.1. 1）</w:t>
      </w:r>
    </w:p>
    <w:p w14:paraId="397E939B">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在课程计划中体现科学发展新趋势。（Q 2.1.2） </w:t>
      </w:r>
    </w:p>
    <w:p w14:paraId="37A4246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41A1DF76">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课程计划包括培养目标、预期结果、课程模式、课程设置（课程结构、组成、学分和时间分配）和考核原则等。课程计划应有与之相匹配的课程教学大纲。课程教学大纲涵盖课程教学目标、教学内容、教学方法、学习资源、考核要求等内容，各部分应相互协调，并与培养目标相适应。（A 2.1. 1）</w:t>
      </w:r>
    </w:p>
    <w:p w14:paraId="5B92901D">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课程模式可以是基于学科的模式，也可以是各种整合模式。（A 2.1.2）</w:t>
      </w:r>
    </w:p>
    <w:p w14:paraId="4A953707">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教学方法含教与学两个方面，包括课堂讲授、小组讨论、基于问题或案例的学习、同伴学习、实验教学、临床示教、床旁教学、临床技能训练、情景教学、模拟/虚拟教学、线上线下混合教学等。（A 2.1.3）</w:t>
      </w:r>
    </w:p>
    <w:p w14:paraId="5C2950AE">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自主学习指学习者自我驱动，判断自身的学习需求，制定适合自己的学习目标，辨别与整合相关的学习内容与资源，选择适当的学习方法与策略，监控自身的学习过程，评价自身的学习效果，并不断调节自身的学习行为。（A 2.1.4）</w:t>
      </w:r>
    </w:p>
    <w:p w14:paraId="19455976">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平等的原则是指学校在教学实施过程中遵守公平性和多样化的原则。在制定教学管理、学生评价等方面的规章制度时充分考虑学生的性别、民族、宗教、文化、社会背景等。（A 2.1.5）</w:t>
      </w:r>
    </w:p>
    <w:p w14:paraId="1594BCD9">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课程计划和教学方法需要以现代学习理论为基础。（A 2.1.6）</w:t>
      </w:r>
    </w:p>
    <w:p w14:paraId="79B4A60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2.2 科学方法教育</w:t>
      </w:r>
    </w:p>
    <w:p w14:paraId="5E66CED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6ECA75C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26F58EBB">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在整个课程计划中包括：</w:t>
      </w:r>
    </w:p>
    <w:p w14:paraId="196E6052">
      <w:pPr>
        <w:keepNext w:val="0"/>
        <w:keepLines w:val="0"/>
        <w:pageBreakBefore w:val="0"/>
        <w:widowControl w:val="0"/>
        <w:numPr>
          <w:ilvl w:val="1"/>
          <w:numId w:val="11"/>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科学方法原理，强调分析和解决问题的能力、批判性思维的培养。（B 2.2. 1）</w:t>
      </w:r>
    </w:p>
    <w:p w14:paraId="67F4BDA8">
      <w:pPr>
        <w:keepNext w:val="0"/>
        <w:keepLines w:val="0"/>
        <w:pageBreakBefore w:val="0"/>
        <w:widowControl w:val="0"/>
        <w:numPr>
          <w:ilvl w:val="1"/>
          <w:numId w:val="11"/>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医学研究方法的训练。（B 2.2.2）</w:t>
      </w:r>
    </w:p>
    <w:p w14:paraId="3A856BF8">
      <w:pPr>
        <w:keepNext w:val="0"/>
        <w:keepLines w:val="0"/>
        <w:pageBreakBefore w:val="0"/>
        <w:widowControl w:val="0"/>
        <w:numPr>
          <w:ilvl w:val="1"/>
          <w:numId w:val="11"/>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循证医学教育。（B 2.2.3）</w:t>
      </w:r>
    </w:p>
    <w:p w14:paraId="62FE8C7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7DE4B52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770E401E">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鼓励和支持学生参与科学研究，并将学生科研训练纳入课程计划。（Q 2.2. 1）</w:t>
      </w:r>
    </w:p>
    <w:p w14:paraId="5CA8086D">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将原创的或前沿的研究纳入教学过程中。（Q 2.2.2）</w:t>
      </w:r>
    </w:p>
    <w:p w14:paraId="5830F460">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将科学方法原理、医学研究方法和创新意识的教育贯穿人才培养的全过程。（Q2.2.3）</w:t>
      </w:r>
    </w:p>
    <w:p w14:paraId="041D8FD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2B8E4714">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科学方法教育指教学过程中对科学方法和科学意识的培养。（A 2.2. 1）</w:t>
      </w:r>
    </w:p>
    <w:p w14:paraId="48746A9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2.3 人文社会科学和自然科学课程</w:t>
      </w:r>
    </w:p>
    <w:p w14:paraId="328ED58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352F85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4F04B5E8">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在整个课程计划中覆盖下列领域的内容：</w:t>
      </w:r>
    </w:p>
    <w:p w14:paraId="059D0770">
      <w:pPr>
        <w:keepNext w:val="0"/>
        <w:keepLines w:val="0"/>
        <w:pageBreakBefore w:val="0"/>
        <w:widowControl w:val="0"/>
        <w:numPr>
          <w:ilvl w:val="1"/>
          <w:numId w:val="13"/>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人文社会科学，特别强调思想道德修养、医学伦理、卫生法律法规等内容。（B 2.3. 1）</w:t>
      </w:r>
    </w:p>
    <w:p w14:paraId="664BD136">
      <w:pPr>
        <w:keepNext w:val="0"/>
        <w:keepLines w:val="0"/>
        <w:pageBreakBefore w:val="0"/>
        <w:widowControl w:val="0"/>
        <w:numPr>
          <w:ilvl w:val="1"/>
          <w:numId w:val="13"/>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自然科学。（B 2.3.2）</w:t>
      </w:r>
    </w:p>
    <w:p w14:paraId="33E9A5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27A18A5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1E101187">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将人文社会科学融入医学专业教学中，重视职业精神与素养的培养。调整并优化课程计划中人文社会科学的内容和权重，以适应：</w:t>
      </w:r>
    </w:p>
    <w:p w14:paraId="7AF1DB31">
      <w:pPr>
        <w:keepNext w:val="0"/>
        <w:keepLines w:val="0"/>
        <w:pageBreakBefore w:val="0"/>
        <w:widowControl w:val="0"/>
        <w:numPr>
          <w:ilvl w:val="1"/>
          <w:numId w:val="15"/>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科学技术和临床医学发展。（Q 2.3. 1）</w:t>
      </w:r>
    </w:p>
    <w:p w14:paraId="60EA2118">
      <w:pPr>
        <w:keepNext w:val="0"/>
        <w:keepLines w:val="0"/>
        <w:pageBreakBefore w:val="0"/>
        <w:widowControl w:val="0"/>
        <w:numPr>
          <w:ilvl w:val="1"/>
          <w:numId w:val="15"/>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社会和医疗卫生体系当前和未来的需求。（Q 2.3.2）</w:t>
      </w:r>
    </w:p>
    <w:p w14:paraId="451C6F09">
      <w:pPr>
        <w:keepNext w:val="0"/>
        <w:keepLines w:val="0"/>
        <w:pageBreakBefore w:val="0"/>
        <w:widowControl w:val="0"/>
        <w:numPr>
          <w:ilvl w:val="1"/>
          <w:numId w:val="15"/>
        </w:numPr>
        <w:kinsoku/>
        <w:wordWrap/>
        <w:overflowPunct/>
        <w:topLinePunct w:val="0"/>
        <w:autoSpaceDE/>
        <w:autoSpaceDN/>
        <w:bidi w:val="0"/>
        <w:adjustRightInd w:val="0"/>
        <w:snapToGrid w:val="0"/>
        <w:spacing w:line="360" w:lineRule="auto"/>
        <w:ind w:left="84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不断变化的人口和文化环境的需要。（Q 2.3.3） </w:t>
      </w:r>
    </w:p>
    <w:p w14:paraId="3D048E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15B6E8A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文社会科学包括医学史、医学伦理、卫生法、医学心理、医学社会、卫生事业管理等方面的内容，其内容涵盖的广度和深度取决于医学院校教育目标的要求。鼓励将人文社会科学知识内容进行整合并融入专业课程教学。（A 2.3. 1）</w:t>
      </w:r>
    </w:p>
    <w:p w14:paraId="00E6552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自然科学包括数学、物理、化学等内容。（A 2.3.2）</w:t>
      </w:r>
    </w:p>
    <w:p w14:paraId="60D0A83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2.4  生物与基础医学课程</w:t>
      </w:r>
    </w:p>
    <w:p w14:paraId="7640E52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6D4591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1D645BD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在课程计划中开设生物与基础医学课程，使学生全面了解医学科学知识，掌握基本概念和方法，并了解其在临床中的应用。 （B 2.4. 1）</w:t>
      </w:r>
    </w:p>
    <w:p w14:paraId="0A1CF55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4C3526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4A2D318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根据科学技术和医学发展以及社会对卫生保健服务的需求调整生物与基础医学课程。（Q 2.4. 1）</w:t>
      </w:r>
    </w:p>
    <w:p w14:paraId="618B3A8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3E22439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生物与基础医学课程包括人体解剖学（含系统解剖与局部解剖）、组织学与胚胎学、细胞生物学、医学遗传学、生物化学与分子生物学、生理学、病原生物学、医学免疫学、病理学、药理学、病理生理学等核心课程或内容；以及与医学学科发展相关的拓展课程或内容，如神经生物学。以上课程或内容也可以整合的形式呈现。核心课程或内容应列为必修，拓展课程或内容依培养目标和院校资源情况自主设置并可列为必修或选修。（A 2.4. 1）</w:t>
      </w:r>
    </w:p>
    <w:p w14:paraId="0EE32A8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2.5 公共卫生与预防医学课程</w:t>
      </w:r>
    </w:p>
    <w:p w14:paraId="42A4549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86C3FF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7332AAB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安排公共卫生与预防医学相关内容，培养学生的预防战略和公共卫生意识，使其掌握健康教育和健康促进的知识与技能，并能应用于临床实践。（B 2.5. 1）</w:t>
      </w:r>
    </w:p>
    <w:p w14:paraId="192B286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0B03214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7FBF3FD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将公共卫生与预防医学相关内容融入医学教育全过程。（Q 2.5. 1）</w:t>
      </w:r>
    </w:p>
    <w:p w14:paraId="0254FF7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使学生了解全球卫生的状况，具有全球卫生意识。（Q 2.5.2） </w:t>
      </w:r>
    </w:p>
    <w:p w14:paraId="17D6AD0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7945613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公共卫生与预防医学相关内容包括医学统计学、流行病学、妇幼与儿少卫生学、社会医学、环境卫生学、营养与食品卫生学、劳动卫生与职业病学、全球卫生、健康教育与健康促进等。（A 2.5. 1）</w:t>
      </w:r>
    </w:p>
    <w:p w14:paraId="72EC4F9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color w:val="auto"/>
          <w:sz w:val="28"/>
          <w:szCs w:val="36"/>
          <w:lang w:val="en-US" w:eastAsia="zh-CN"/>
        </w:rPr>
      </w:pPr>
      <w:r>
        <w:rPr>
          <w:rFonts w:hint="default" w:ascii="Times New Roman" w:hAnsi="Times New Roman" w:eastAsia="仿宋_GB2312" w:cs="Times New Roman"/>
          <w:b/>
          <w:bCs/>
          <w:color w:val="auto"/>
          <w:sz w:val="28"/>
          <w:szCs w:val="36"/>
          <w:lang w:val="en-US" w:eastAsia="zh-CN"/>
        </w:rPr>
        <w:t>2.6 临床医学课程</w:t>
      </w:r>
    </w:p>
    <w:p w14:paraId="7415B45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56A8E6D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3E65A4A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在课程计划中明确并涵盖临床学科内容，确保学生获得全面的临床医学知识、临床能力、职业精神与素养，在毕业后能够承担相应的临床工作。（B 2.6. 1）</w:t>
      </w:r>
    </w:p>
    <w:p w14:paraId="3EB0096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5F92791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在临床环境中安排临床医学课程，确保学生有足够的时间接触患者，并做出合理的教学安排。（B 2.6.2）</w:t>
      </w:r>
    </w:p>
    <w:p w14:paraId="173AB96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保证理论授课和临床见习紧密结合。（B 2.6.3）</w:t>
      </w:r>
    </w:p>
    <w:p w14:paraId="3B568AB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确保学生在本校附属医院及与本校签有书面协议、具有教学资质的临床教学基地完成实习。（B 2.6.4）</w:t>
      </w:r>
    </w:p>
    <w:p w14:paraId="43CFEBC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保证毕业实习时间不少于 48 周，实习轮转主要安排在内科、外科、妇产科、儿科与社区。（B 2.6.5）</w:t>
      </w:r>
    </w:p>
    <w:p w14:paraId="562E0F5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保证在毕业实习的科室轮转安排中，内科的呼吸内科、心血管内科、消化内科分别不少于 3 周，外科的普通外科不少于 6周，且同时包括胃肠外科和肝胆外科。（B 2.6.6）</w:t>
      </w:r>
    </w:p>
    <w:p w14:paraId="5E06F9E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在临床实践中关注患者和学生的安全。（B 2.6.7）</w:t>
      </w:r>
    </w:p>
    <w:p w14:paraId="72E491E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在课程计划中设置与医生职责有关的交流技能的专门指导，包括与患者及其家属或监护人、同行及其他卫生行业人员的交流等内容。（B 2.6.8）</w:t>
      </w:r>
    </w:p>
    <w:p w14:paraId="76D8DCC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安排必要的中医药课程。（B 2.6.9）</w:t>
      </w:r>
    </w:p>
    <w:p w14:paraId="03F85FC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提倡早期接触临床。（B 2.6. 10）</w:t>
      </w:r>
    </w:p>
    <w:p w14:paraId="7EB7384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根据不同学习阶段的教学目标，合理安排临床技能的培训。（B 2.6. 11）</w:t>
      </w:r>
    </w:p>
    <w:p w14:paraId="29D0647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300EF66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24BDBA1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将早期接触临床纳入课程计划，使学生更多地接触患者。（Q 2.6. 1）</w:t>
      </w:r>
    </w:p>
    <w:p w14:paraId="204219D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为医学生与其他专业的医疗人员及学生团队合作提供跨专业教育（IPE）的机会。（Q 2.6.2）</w:t>
      </w:r>
    </w:p>
    <w:p w14:paraId="69AF15A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1F7A0DB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临床医学课程包括诊断学（含检体诊断学、实验诊断学、影像诊断学）、外科学总论、内科学、外科学、妇产科学、儿科学、麻醉学、精神病学、神经病学、传染病学、眼科学、耳鼻咽喉科学、皮肤性病学、口腔科学、中医药学、全科医学等核心课程或内容；以及急诊医学、康复医学、老年医学等拓展课程或内容。临床医学课程也可以整合的形式呈现。核心课程与拓展课程的含义见2.4生物与基础医学课程注释。（A 2.6. 1）</w:t>
      </w:r>
    </w:p>
    <w:p w14:paraId="7F10362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临床技能包括病史采集、体格检查、沟通技能、辅助检查、诊断与鉴别诊断、制定和执行诊疗计划、临床诊疗操作等。（A 2.6.2）</w:t>
      </w:r>
    </w:p>
    <w:p w14:paraId="10D232A3">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合理的教学安排是指临床教学时间不少于整个课程计划时间的1/2 ，在临床教学中实际接触患者的时间不少于整个课程计划时间的1/3 。（A 2.6.3）</w:t>
      </w:r>
    </w:p>
    <w:p w14:paraId="7DBF617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具有教学资质的临床教学基地是指通过教育和（或）卫生主管部门评估合格的临床教学基地。（A 2.6.4）</w:t>
      </w:r>
    </w:p>
    <w:p w14:paraId="3A5B144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患者和学生的安全指保证学生只承担他们能够胜任并符合相关规定的临床实践任务，并在过程中由上级医师对学生进行监督管理，以保护患者的安全；同时保证学生拥有安全的学习环境。（A 2.6.5）</w:t>
      </w:r>
    </w:p>
    <w:p w14:paraId="640BD22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早期接触临床指在生物与基础医学学习阶段，有计划地在临床环境中安排临床相关内容的学习，主要包括医患沟通、病史采集、体格检查等。（A 2.6.6）</w:t>
      </w:r>
    </w:p>
    <w:p w14:paraId="004E1C9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合理安排临床技能的培训指技能培训内容依据不同学习阶段设置；临床技能培训包括床旁技能训练和临床医学模拟训练。医学模拟训练是床旁教学的补充。（A 2.6.7）</w:t>
      </w:r>
    </w:p>
    <w:p w14:paraId="1695B1C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跨专业教育（IPE）指来自两个或多个专业的学生共同学习和有效合作，主要目标是培养学生团队合作和协同能力。（A 2.6.8）</w:t>
      </w:r>
    </w:p>
    <w:p w14:paraId="29D23C0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2.7 课程计划的结构、组成</w:t>
      </w:r>
    </w:p>
    <w:p w14:paraId="34CF531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596BE57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5775158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6923D5D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在课程计划中简述每门课程的内容、课程安排的先后顺序以及其他课程要素，以保证人文社会科学和自然科学课程、生物与基础医学课程、公共卫生与预防医学课程和临床医学课程之间的协调。（B 2.7. 1）</w:t>
      </w:r>
    </w:p>
    <w:p w14:paraId="3423F81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在课程设置中包括必修课程和选修课程，两者之间的比例可根据学校的人才培养目标等实际情况确定。（B 2.7.2）</w:t>
      </w:r>
    </w:p>
    <w:p w14:paraId="4A094F3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发挥课程教学大纲的指导作用并及时修订大纲。（B 2.7.3）</w:t>
      </w:r>
    </w:p>
    <w:p w14:paraId="64460D3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563254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4A6EC80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在课程计划中进行相关学科课程的不同形式的整合。（Q 2.7. 1） </w:t>
      </w:r>
    </w:p>
    <w:p w14:paraId="4CB5834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33B7831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整合包括生物与基础医学、临床医学、公共卫生与预防医学、人文社会科学等学科课程的不同形式的整合，如横向整合、纵向整合、主题模块整合等。（A 2.7. 1）</w:t>
      </w:r>
    </w:p>
    <w:p w14:paraId="561924E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2.8 课程计划管</w:t>
      </w:r>
      <w:r>
        <w:rPr>
          <w:rFonts w:hint="default" w:ascii="Times New Roman" w:hAnsi="Times New Roman" w:eastAsia="仿宋_GB2312" w:cs="Times New Roman"/>
          <w:sz w:val="28"/>
          <w:szCs w:val="36"/>
          <w:lang w:val="en-US" w:eastAsia="zh-CN"/>
        </w:rPr>
        <w:t>理</w:t>
      </w:r>
    </w:p>
    <w:p w14:paraId="1C51006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304BCDF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2D5BF64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设置教学（指导）委员会，在教学校/院长的领导下，负责审定课程计划，以实现预期教育结果。（B 2.8. 1）</w:t>
      </w:r>
    </w:p>
    <w:p w14:paraId="74C428A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在教学（指导）委员会中设有教师和学生代表。（B 2.8.2）</w:t>
      </w:r>
    </w:p>
    <w:p w14:paraId="3CAC043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明确负责课程计划整体设计的部门或组织，设置确保课程计划有效实施的基层教学组织。（B 2.8.3）</w:t>
      </w:r>
    </w:p>
    <w:p w14:paraId="148A82C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50CD413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0412277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通过教学（指导）委员会制定课程改革方案并加以实施。（Q 2.8. 1）</w:t>
      </w:r>
    </w:p>
    <w:p w14:paraId="078ADE4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在教学（指导）委员会中设有其他利益相关方的代表。（Q 2.8.2）</w:t>
      </w:r>
    </w:p>
    <w:p w14:paraId="194201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494896D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教学（指导）委员会在学校规章制度允许范围内宏观调控课程。教学（指导）委员会有权指导教学资源的配置、推进课程计划实施、评估课程以及学生的发展情况。（A 2.8. 1）</w:t>
      </w:r>
    </w:p>
    <w:p w14:paraId="1A3F62C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其他利益相关方应该包括教学过程中的其他参与者、实习医院和其他临床机构的代表、就业单位代表、医学院校毕业生代表、社区及公众代表（如包括患者团体和组织在内的医疗服务体系的服务对象）或综合性大学的相关学院等。（A 2.8.2）</w:t>
      </w:r>
    </w:p>
    <w:p w14:paraId="6FC7D6B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2.9 与毕业后教育和继续医学教育的联系</w:t>
      </w:r>
    </w:p>
    <w:p w14:paraId="2ABD26F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5F478B2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411B94C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确保课程计划与毕业后医学教育的有效衔接，并使毕业生具备接受继续医学教育的能力。（B 2.9. 1）</w:t>
      </w:r>
    </w:p>
    <w:p w14:paraId="37090BB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6A92D90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74E37E1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根据毕业生质量调查结果和社会医疗服务需求等信息，及时修订、完善课程计划。（Q 2.9. 1）</w:t>
      </w:r>
    </w:p>
    <w:p w14:paraId="1AD5657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2FBE9BE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有效衔接指根据医疗卫生需求，调整应达到的教育结果。有效衔接需要明确课程计划与毕业后医疗实践之间的关系；建立与卫生行政部门、用人单位、教师和学生的双向反馈机制。 （A 2.9. 1）</w:t>
      </w:r>
    </w:p>
    <w:p w14:paraId="25D05ADF">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3. 学业考核与评价</w:t>
      </w:r>
    </w:p>
    <w:p w14:paraId="1B41ECA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3.1 考核与评价方法</w:t>
      </w:r>
    </w:p>
    <w:p w14:paraId="688FE18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2757CEB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01A296F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围绕培养目标制定并公布学生学业考核与评价的总体原则和实施方案。内容包括考核与评价的形式和频次、成绩构成、标准、允许重修次数等。（B 3.1. 1）</w:t>
      </w:r>
    </w:p>
    <w:p w14:paraId="4EDC9BC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确保考核与评价覆盖科学和学术、临床能力、健康与社会、职业精神与素养四个方面。（B 3.1.2）</w:t>
      </w:r>
    </w:p>
    <w:p w14:paraId="59BC09C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根据不同的考核目的，采用合理的、多样的考核与评价方法。 （B 3.1.3）</w:t>
      </w:r>
    </w:p>
    <w:p w14:paraId="101EB7F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建立并实施考核与评价结果申诉制度。（B 3.1.4）</w:t>
      </w:r>
    </w:p>
    <w:p w14:paraId="03922DF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38B2E45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14223C1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建立与培养目标、课程模式相适应的考核与评价的体系与方法。 （Q 3.1. 1）</w:t>
      </w:r>
    </w:p>
    <w:p w14:paraId="090C930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积极开展考核与评价的体系与方法研究，探索新的、有效的考核与评价方法并加以应用。（Q 3.1.2）</w:t>
      </w:r>
    </w:p>
    <w:p w14:paraId="3920634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确保考核与评价得到医学教育专家的指导与监督。（Q 3.1.3）</w:t>
      </w:r>
    </w:p>
    <w:p w14:paraId="2A89E67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color w:val="auto"/>
          <w:sz w:val="28"/>
          <w:szCs w:val="36"/>
          <w:lang w:val="en-US" w:eastAsia="zh-CN"/>
        </w:rPr>
        <w:t>3.2 考核评价与学习之间的关系</w:t>
      </w:r>
    </w:p>
    <w:p w14:paraId="5EF7F9C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2404049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007CEF9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明确采用的考核与评价原则、方法和措施，能够达到以下要求：</w:t>
      </w:r>
    </w:p>
    <w:p w14:paraId="12ABF97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确保学生能够实现预期的教育结果。（B 3.2. 1）</w:t>
      </w:r>
    </w:p>
    <w:p w14:paraId="040DB8D3">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有利于促进学生的学习。（B 3.2.2）</w:t>
      </w:r>
    </w:p>
    <w:p w14:paraId="36F09F2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做好终结性评价的同时，加强形成性评价的应用，并及时进行反馈，以便指导学生更好地学习。（B 3.2.3）</w:t>
      </w:r>
    </w:p>
    <w:p w14:paraId="28D7526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509956F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2C1FC80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通过调整考核与评价的频次和类型，既鼓励基础知识的掌握又促进整合性学习。（Q 3.2. 1）</w:t>
      </w:r>
    </w:p>
    <w:p w14:paraId="02549E3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基于考核与评价结果，及时向学生提供具有针对性和建设性的反馈意见。（Q 3.2.2）</w:t>
      </w:r>
    </w:p>
    <w:p w14:paraId="08AB453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05A5FF6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考核与评价原则、方法和措施需对应培养目标整体设计，鼓励使用客观结构化临床考试（OSCE） 、微型临床评估演练（mini-CEX）、操作技能直接观察（DOPS）、计算机模拟病例考试（CCS）、置信职业行为（EPAs）评价等。（A 3.2. 1）</w:t>
      </w:r>
    </w:p>
    <w:p w14:paraId="1A4BE15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终结性评价是在教学活动结束后进行，用于判断教学目标是否达到预期结果的评价手段。终结性评价侧重于学生成绩和学习结果的评定。（A 3.2.2）</w:t>
      </w:r>
    </w:p>
    <w:p w14:paraId="6C868A9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形成性评价强调教学过程与评价过程相结合，重视和强调教与学过程中的及时反馈和改进。形成性评价既有助于教师了解教学效果并优化教学，又有助于学生及时了解自己的学习状况并调整学习策略。（A 3.2.3）</w:t>
      </w:r>
    </w:p>
    <w:p w14:paraId="6369528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整合性学习可以通过实施综合性考核来促进，同时应确保对单个学科或单门课程领域的知识进行合理覆盖。（A 3.2.4）</w:t>
      </w:r>
    </w:p>
    <w:p w14:paraId="2037268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3.3 考核评价结果分析与反馈</w:t>
      </w:r>
    </w:p>
    <w:p w14:paraId="08D8B86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607432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06B975C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在考试完成后进行基于教育测量学的考试分析。（B 3.3. 1）</w:t>
      </w:r>
    </w:p>
    <w:p w14:paraId="4D635CB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4D361FF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将考核与评价的分析结果及存在的问题以适当方式反馈给学生、教师和教学管理人员。（B 3.3.2）</w:t>
      </w:r>
    </w:p>
    <w:p w14:paraId="16C0012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B2FC11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145A1D4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将考核与评价分析结果用于改进教与学。（Q 3.3. 1）</w:t>
      </w:r>
    </w:p>
    <w:p w14:paraId="30CD201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加强考核与评价的改革与研究。（Q 3.3.2） </w:t>
      </w:r>
    </w:p>
    <w:p w14:paraId="42F1D5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5864954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考试分析包括试题难度和区分度、考试信度和效度、专业内容分析以及对考试整体结果的分析等。（A 3.3. 1）</w:t>
      </w:r>
    </w:p>
    <w:p w14:paraId="187ECF9C">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4. 学生</w:t>
      </w:r>
    </w:p>
    <w:p w14:paraId="2CC4808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4.1 招生政策及录取</w:t>
      </w:r>
    </w:p>
    <w:p w14:paraId="1C5531A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7ED83E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0570AB9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根据国家的招生政策制定招生方案，并定期审核和调整。（B 4.1. 1）</w:t>
      </w:r>
    </w:p>
    <w:p w14:paraId="5F2A342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在保证招生质量的前提下，关注学生群体的多样性。（B 4.1.2）</w:t>
      </w:r>
    </w:p>
    <w:p w14:paraId="5996C50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在满足专业要求的前提下，不存在歧视和偏见。（B 4.1.3）</w:t>
      </w:r>
    </w:p>
    <w:p w14:paraId="04DAF37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向社会公布招生章程及相关信息。（B 4.1.4）</w:t>
      </w:r>
    </w:p>
    <w:p w14:paraId="48D74AD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制定并实施学生转专业的制度。（B 4.1.5）</w:t>
      </w:r>
    </w:p>
    <w:p w14:paraId="38BCF9D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具有明确的针对录取结果的申诉制度。（B 4.1.6）</w:t>
      </w:r>
    </w:p>
    <w:p w14:paraId="1CE9F85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2EAAE24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287FAA5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阐明学生录取原则与学校宗旨、课程计划及毕业生应达到的基本要求之间的关系。（Q 4.1. 1）</w:t>
      </w:r>
    </w:p>
    <w:p w14:paraId="1E67C39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600668A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48DEE7C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招生章程及相关信息包括院校简介、专业设置、招生计划、收费标准、奖助学金、申诉及监督机制等方面内容，明确说明学生选拔过程并通过网络向考生公布课程计划。（A 4.1. 1）</w:t>
      </w:r>
    </w:p>
    <w:p w14:paraId="319A4A7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4.2 招生规模</w:t>
      </w:r>
    </w:p>
    <w:p w14:paraId="0690E63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03098BA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18AA954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依据国家相关政策、社会医疗需求和学校的教育资源合理确定招生规模。（B 4.2. 1）</w:t>
      </w:r>
    </w:p>
    <w:p w14:paraId="2E627E5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1E0C032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03D3236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在审核和调整招生规模时，考虑利益相关方的意见。（Q 4.2. 1）</w:t>
      </w:r>
    </w:p>
    <w:p w14:paraId="4CCA9DD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使招生规模体现学校办学定位与社会需求。（Q 4.2.2） </w:t>
      </w:r>
    </w:p>
    <w:p w14:paraId="4622A3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6768113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社会医疗需求包括国家和区域对医学人才的需要，也包括性别、民族和其他社会需求（人群的社会文化和语言特点），如为边远地区学生及少数民族学生制定特殊招生和录取政策等。（A  4.2. 1）</w:t>
      </w:r>
    </w:p>
    <w:p w14:paraId="4E4AEAD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教育资源应考虑到医学类专业学生对临床教学资源的占用。 （A 4.2.2）</w:t>
      </w:r>
    </w:p>
    <w:p w14:paraId="26A2948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利益相关方包括教育和卫生行政部门人员、医疗卫生机构人员、教师、学生和公众代表等。（A 4.2.3）</w:t>
      </w:r>
    </w:p>
    <w:p w14:paraId="4C8331A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4.3 学生咨询与支持</w:t>
      </w:r>
    </w:p>
    <w:p w14:paraId="42D12BB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0F010BE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00407FC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建立有效的学业咨询与支持体系。（B 4.3. 1）</w:t>
      </w:r>
    </w:p>
    <w:p w14:paraId="732A9D3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对学生学习、生活、勤工助学、就业等方面提供必需的支持服务。（B 4.3.2）</w:t>
      </w:r>
    </w:p>
    <w:p w14:paraId="7426E54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建立有效的心理咨询体系。（B 4.3.3）</w:t>
      </w:r>
    </w:p>
    <w:p w14:paraId="5C06FF5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配置学生支持服务所需的资源，关注学生事务工作队伍的建设。 （B 4.3.4）</w:t>
      </w:r>
    </w:p>
    <w:p w14:paraId="18F941F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确保学生接受咨询与支持的隐私权不受侵犯，不泄露学生的隐私。（B 4.3.5）</w:t>
      </w:r>
    </w:p>
    <w:p w14:paraId="4F4B012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1A9730E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E7706E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根据学生学业进展情况，提供个性化学业指导和咨询。（Q 4.3. 1）</w:t>
      </w:r>
    </w:p>
    <w:p w14:paraId="5B04E23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为学生提供职业规划指导。（Q 4.3.2） </w:t>
      </w:r>
    </w:p>
    <w:p w14:paraId="4E5AB61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694810F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学业咨询应包括课程的选择、住院医师阶段的准备等方面的内容。（A 4.3. 1）</w:t>
      </w:r>
    </w:p>
    <w:p w14:paraId="70C37AD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支持服务包括医疗服务、就业指导、为学生（包括残障学生）提供合理的住宿，执行奖学金、贷学金、助学金、困难补助等助学制度，为学生提供经济帮助。（A 4.3.2）</w:t>
      </w:r>
    </w:p>
    <w:p w14:paraId="1073D63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个性化学业指导和咨询除学习指导外，包括为每位学生或学生小组指定学术导师。（A 4.3.3）</w:t>
      </w:r>
    </w:p>
    <w:p w14:paraId="4BF6F85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4.4 学生代表</w:t>
      </w:r>
    </w:p>
    <w:p w14:paraId="22F3DB1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44868F0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6997643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制定和实施有关政策，确保学生代表能够参与课程计划的设计、管理和考核以及其他与学生有关的事宜。（B 4.4. 1）</w:t>
      </w:r>
    </w:p>
    <w:p w14:paraId="5988A46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支持学生依法成立学生社团组织，指导和鼓励学生开展有益的社团活动，并为之提供必要的设备、场所、技术和资金支持。（B 4.4.2）</w:t>
      </w:r>
    </w:p>
    <w:p w14:paraId="6599F79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7561022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3093187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D7A81E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在学校的相关委员会、团体和机构中设立学生代表并发挥作用。</w:t>
      </w:r>
    </w:p>
    <w:p w14:paraId="76307E2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（Q 4.4. 1）</w:t>
      </w:r>
    </w:p>
    <w:p w14:paraId="72231C5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1C8490A3">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学生社团组织包括学生自我管理、自我教育、自我服务的相关团体。（A 4.4. 1）</w:t>
      </w:r>
    </w:p>
    <w:p w14:paraId="576DB81F">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5.教师</w:t>
      </w:r>
    </w:p>
    <w:p w14:paraId="4E98587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color w:val="auto"/>
          <w:sz w:val="28"/>
          <w:szCs w:val="36"/>
          <w:lang w:val="en-US" w:eastAsia="zh-CN"/>
        </w:rPr>
        <w:t>5.1 教师聘任与遴选政策</w:t>
      </w:r>
    </w:p>
    <w:p w14:paraId="30B22DF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7698781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33C8CCB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制定和实施教师资格认定制度和教师聘任制度，确保师资适应教学、科研和社会服务的需求。（B 5.1. 1）</w:t>
      </w:r>
    </w:p>
    <w:p w14:paraId="7CD293A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根据学校的目标定位、办学规模和教学模式，配备数量足够、结构合理的具有教学资质的教师队伍，尤其要确保足够数量的具有医学背景的专任教师讲授生物与基础医学相关内容。（B 5.1.2）</w:t>
      </w:r>
    </w:p>
    <w:p w14:paraId="0643E1F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在聘任教师时应设定其职责范围，并确保其职责范围内教学、科研和社会服务之间的比例与平衡。（B 5.1.3）</w:t>
      </w:r>
    </w:p>
    <w:p w14:paraId="7DBC457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阐明教师在教学、科研和社会服务方面的业绩标准，定期对教师的业绩进行评价。（B 5.1.4）</w:t>
      </w:r>
    </w:p>
    <w:p w14:paraId="341B9FE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有相应的机制保证教学业绩的评价结果在职称评定、职务晋升、岗位聘任等环节发挥作用。（B 5.1.5）</w:t>
      </w:r>
    </w:p>
    <w:p w14:paraId="299C126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有相应的机制保证非医学背景教师了解医学相关知识。（B 5.1.6）</w:t>
      </w:r>
    </w:p>
    <w:p w14:paraId="7076450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60580EA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0CE9964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在制定教师的聘任政策时考虑学校办学宗旨、改革与发展的需求。（Q 5.1. 1）</w:t>
      </w:r>
    </w:p>
    <w:p w14:paraId="3D3CA46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在制定教师的聘任政策时考虑人员经费和资源的合理有效利用，以利于教学、科研和社会服务均衡发展。（Q 5.1.2）</w:t>
      </w:r>
    </w:p>
    <w:p w14:paraId="6523E7F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有相应的机制保证临床教师参与生物与基础医学教学。（Q 5.1.3）</w:t>
      </w:r>
    </w:p>
    <w:p w14:paraId="2D7024C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1D4BD4B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具有教学资质的教师指被聘任教师必须具有良好的职业道德及与其学术等级相称的学术水平和教学能力，能够承担相应的 课程和规定的教学任务，并得到相关教育部门的认可。（A 5.1. 1）</w:t>
      </w:r>
    </w:p>
    <w:p w14:paraId="4A023A1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业绩标准可以依据教师资质、专业经验、教学奖励、科研成果、学生评价、同行评价等方面衡量。（A 5. 1.2）</w:t>
      </w:r>
    </w:p>
    <w:p w14:paraId="60A02BC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5.2 教师活动与教师发展政策</w:t>
      </w:r>
    </w:p>
    <w:p w14:paraId="3C29236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2D4EFA6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4AFC29D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制定教师培训、晋升、支持和评价等政策并能有效实施，确保人才培养的中心地位。这些政策应当：</w:t>
      </w:r>
    </w:p>
    <w:p w14:paraId="197FE12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保障教师的合法权利。（B 5.2. 1）</w:t>
      </w:r>
    </w:p>
    <w:p w14:paraId="63232FB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认可和支持教师的专业发展活动。（B 5.2.2）</w:t>
      </w:r>
    </w:p>
    <w:p w14:paraId="33A42ED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鼓励教师将临床经验和科研成果应用于教学。（B 5.2.3）</w:t>
      </w:r>
    </w:p>
    <w:p w14:paraId="36BEBC7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保证教师有直接参与课程计划和教育管理决策制订的途径。（B 5.2.4）</w:t>
      </w:r>
    </w:p>
    <w:p w14:paraId="2DDE683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促进教师交流。（B 5.2.5）</w:t>
      </w:r>
    </w:p>
    <w:p w14:paraId="10F5DE9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使教师具备并保持胜任教学工作的能力，鼓励教学创新。 （B 5.2.6）</w:t>
      </w:r>
    </w:p>
    <w:p w14:paraId="43D75A8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促进教师的教学、科研和社会服务职能的平衡。（B 5.2.7）</w:t>
      </w:r>
    </w:p>
    <w:p w14:paraId="72A0D47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290381D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5781A57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有专门的机构或部门，制定医学教师发展规划，建立长效培训机制。（Q 5.2. 1）</w:t>
      </w:r>
    </w:p>
    <w:p w14:paraId="2BC9AB2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建立教师参与管理和政策制定的机制。（Q 5.2.2）</w:t>
      </w:r>
    </w:p>
    <w:p w14:paraId="667FFE5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有相应的政策保证教师的教学、科研和社会服务职能的平衡。 （Q 5.2.3）</w:t>
      </w:r>
    </w:p>
    <w:p w14:paraId="3713E93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保证教师对人才培养目标、课程计划有充分的了解。（Q 5.2.4）</w:t>
      </w:r>
    </w:p>
    <w:p w14:paraId="37572CC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有相应的机制保证承担教学任务的不同学科教师之间，特别是生物与基础医学教师和临床医学教师的相互交流与合作。（Q 5.2.5）</w:t>
      </w:r>
    </w:p>
    <w:p w14:paraId="57ED06B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3E9479A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教师活动与教师发展涉及全体教师，不仅包括新教师，也包括所有生物与基础医学教师和临床医学教师。（A 5.2. 1）</w:t>
      </w:r>
    </w:p>
    <w:p w14:paraId="3EA3F22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教师发展应重视教师教学能力的提升，为教师提供教育理念、课程设计、教学方法、教学评价等方面的培训，以及咨询、指导、技术支持与反馈。（A 5.2.2）</w:t>
      </w:r>
    </w:p>
    <w:p w14:paraId="70F259F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教育管理决策还应包括招生、学生事务等。除此之外，教师也应当参与学校其他重要任务的决策。（A 5.2.3）</w:t>
      </w:r>
    </w:p>
    <w:p w14:paraId="61DC35C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教师对课程计划有充分的了解包括了解全部课程内容、教学方法、考核与评价方式，从而促进学科间的合作和整合，对学生进行适当的学习指导。（A 5.2.4）</w:t>
      </w:r>
    </w:p>
    <w:p w14:paraId="271C6A1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教师交流应包括教师在本学科领域内、学科领域间的交流，重视临床医学、生物与基础医学、公共卫生与预防医学、人文社会科学教师间的沟通交流，支持教师参加教学相关学术会议。 （A 5.2.5）</w:t>
      </w:r>
    </w:p>
    <w:p w14:paraId="637C3F1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胜任教学工作的能力表现为能够适应学校的教育目标，遵守教学的基本原则，设计适当的教学活动和学生成绩评定方式。（A 5.2.6）</w:t>
      </w:r>
    </w:p>
    <w:p w14:paraId="457542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5CF0117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教学、科研和社会服务职能的平衡指教师合理安排相关工作的时间，社会服务职能包括卫生保健系统中的临床服务、学生指导、行政管理及其他社会服务工作。（A 5.2.7）</w:t>
      </w:r>
    </w:p>
    <w:p w14:paraId="4929DD32">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6.教育资源</w:t>
      </w:r>
    </w:p>
    <w:p w14:paraId="1B4A5D5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6.1 教育经费与资源配置</w:t>
      </w:r>
    </w:p>
    <w:p w14:paraId="5D919DA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7E9D319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00C6113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有可靠的、多样化的经费筹措渠道，保证稳定的教育经费来源。 （B 6.1. 1）</w:t>
      </w:r>
    </w:p>
    <w:p w14:paraId="5320320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有足以支持完成医学教育计划的教育经费与资源，实现培养目标。（B 6.1.2）</w:t>
      </w:r>
    </w:p>
    <w:p w14:paraId="2A63637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2051A08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1B80988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享有统筹使用医学教育经费与资源的自主权。（Q 6.1. 1）</w:t>
      </w:r>
    </w:p>
    <w:p w14:paraId="5132817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有可以支持对医学教育改革和发展探索的教育经费。（Q 6.1.2） </w:t>
      </w:r>
    </w:p>
    <w:p w14:paraId="7A1F3BD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197A335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经费中学校收取的学费应当按照国家有关规定管理和使用，其中教学经费及其所占学校当年财务决算的比例必须达到国家有关规定的要求。相关主管部门应保证医学教育生均拨款满足医学教育需要。学校在分配教学经费时要考虑医学教育高成本的特点。（A 6. 1. 1）</w:t>
      </w:r>
    </w:p>
    <w:p w14:paraId="440C8A6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多样化的经费筹措渠道包括政府拨款、学费收入、社会团体和公民个人投入、捐赠和基金收入、附属/教学医院支持、校办产业和社会服务收入等。（A 6.1.2）</w:t>
      </w:r>
    </w:p>
    <w:p w14:paraId="39FEC9C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6.2 基础设施</w:t>
      </w:r>
    </w:p>
    <w:p w14:paraId="14A713E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67D4FD8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5206940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提供足够的基础设施，确保课程计划得以有效实施。（B 6.2. 1）</w:t>
      </w:r>
    </w:p>
    <w:p w14:paraId="347B9284">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提供安全的学习环境，保证师生和患者的安全。（B 6.2.2）</w:t>
      </w:r>
    </w:p>
    <w:p w14:paraId="253C9C0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为学生提供足够的进行临床模拟训练的场所和设备。（B 6.2.3）</w:t>
      </w:r>
    </w:p>
    <w:p w14:paraId="268F75A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622CD63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050074C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定期更新、添加和拓展基础设施以改善学习、生活环境，并使其与开展的医学教育相匹配。（Q 6.2. 1）</w:t>
      </w:r>
    </w:p>
    <w:p w14:paraId="1A87EF6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更新并有效利用临床模拟设备，开展临床情境的模拟教学。（Q 6.2.2）</w:t>
      </w:r>
    </w:p>
    <w:p w14:paraId="335C7BA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768738B3">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础设施应包括各类教室及多媒体设备、小组讨论（学习）室、基础实验室（含实验设备、材料和标本）、临床技能中心及设备、临床示教室、图书馆、信息技术和网络资源，以及住宿、饮食、文体活动等设施。相关基础设施应考虑对用于教学和科研的人体标本、动物的人道关怀。（A 6.2. 1）</w:t>
      </w:r>
    </w:p>
    <w:p w14:paraId="60C2EDA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安全的学习环境指在教学实施过程中学校提供的安全学习空间，应保证师生的人身与财产安全；应提供针对有害物质、标本、微生物、植物和动物等的必要信息提示与保护措施、实验室安全条例及安全设备，并公布处理突发事件和防灾状态的制度和程序；应提供实验室安全、病原体暴露、处理危险和放射性物质等相关的必要讲解和训练。（A 6.2.2）</w:t>
      </w:r>
    </w:p>
    <w:p w14:paraId="2144EF6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6.3 临床教学资源</w:t>
      </w:r>
    </w:p>
    <w:p w14:paraId="650D17C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基本标准：医学院校必须：</w:t>
      </w:r>
    </w:p>
    <w:p w14:paraId="7630F92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45D4347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拥有能承担全程临床教学的直属综合性三级甲等附属医院。 （B 6.3. 1）</w:t>
      </w:r>
    </w:p>
    <w:p w14:paraId="7CFE249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确保足够的临床教学基地和资源，满足临床教学需要，医学类专业在校学生数与病床总数比应小于 1:1 。（B 6.3.2）</w:t>
      </w:r>
    </w:p>
    <w:p w14:paraId="27D0A1D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有足够的师资对学生的临床实践进行指导。（B 6.3.3）</w:t>
      </w:r>
    </w:p>
    <w:p w14:paraId="5D28254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D1C617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594EFD3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持续评价、调整并更新临床教学资源，以满足教学与社会卫生服务需求。（Q 6.3. 1）</w:t>
      </w:r>
    </w:p>
    <w:p w14:paraId="564DC10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5E15B6D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附属医院是医学院校的组成部分，与学校有隶属关系。学校对附属医院主要负责人具有任免权或附属医院党组织关系隶属于学校。（A 6.3. 1）</w:t>
      </w:r>
    </w:p>
    <w:p w14:paraId="557298D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临床教学基地除附属医院以外，还包括教学医院、实习医院和社区卫生实践基地。教学医院、实习医院等与学校无隶属关系。教学医院必须符合下列条件：有省级政府部门认可作为医学院校临床教学基地的资质；学校和医院双方有书面协议；有能力、有责任承担包括临床理论课、见习和实习在内的全程临床教学任务；有完善的临床教学规章制度、教学组织机构和教学团队等。（A 6.3.2）</w:t>
      </w:r>
    </w:p>
    <w:p w14:paraId="64CAD2A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临床教学资源除临床教学设施和设备之外，还包括足够的患者和病种数量。（A 6.3.3）</w:t>
      </w:r>
    </w:p>
    <w:p w14:paraId="5D84E22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类专业包括临床医学、麻醉学、医学影像学、眼视光医学、精神医学、放射医学、儿科学、口腔医学、中医学、中西医临床医学、基础医学、法医学、预防医学等授予医学学士学位的专业。医学类专业在校学生包括上述专业的本科生、 中/英文授课的留学生和专科生。（A 6.3.4）</w:t>
      </w:r>
    </w:p>
    <w:p w14:paraId="2DD7BCE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病床总数指附属医院床位数与教学医院床位数之和，其中附属医院床位数是指参与临床教学的附属综合医院和附属专科医院的床位数之和。教学医院床位数是指承担全程临床教学并有一届临床医学专业毕业生的教学医院的床位数之和，但不包括承担部分教学的专科医院的床位数。医院的床位数为医院上一年向卫生部门呈报的年终统计报表床位数，如实际开放的床位数低于编制床位数，则按实际计算。（A 6.3.5）</w:t>
      </w:r>
    </w:p>
    <w:p w14:paraId="01C1064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师资既包括住院医师及以上级别的医师，也包括符合学校教学准入要求的社区医师。学校需有临床教师准入机制确保教师胜任教学。（A 6.3.6）</w:t>
      </w:r>
    </w:p>
    <w:p w14:paraId="48EFA59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评价临床教学资源包括对环境、设备、患者和病例病种数量、医疗卫生服务及其监督与管理等方面进行评价，衡量是否满足教学需求。还需要考虑附属医院或者教学医院承担外校医学类专业学生占用资源情况。（A 6.3.7）</w:t>
      </w:r>
    </w:p>
    <w:p w14:paraId="08D33C0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6.4 信息技术服务</w:t>
      </w:r>
    </w:p>
    <w:p w14:paraId="6263C37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D52449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39CD602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拥有足够的信息技术基础设施和支持服务系统，方便学生使用。 （B 6.4. 1）</w:t>
      </w:r>
    </w:p>
    <w:p w14:paraId="6D0CE65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制定并实施相关政策，确保现代信息技术与资源能有效地服务于教学，保证课程计划的落实。（B 6.4.2）</w:t>
      </w:r>
    </w:p>
    <w:p w14:paraId="0AF49D2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7DEF04A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45C9189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1F524F0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师生能够有效利用现有的信息技术并探索新技术，以支持自主学习。（Q 6.4. 1）</w:t>
      </w:r>
    </w:p>
    <w:p w14:paraId="65DFCF4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在符合医学伦理的情况下，保证学生能够最大程度地获取患者的相关病历信息及使用医疗信息系统。（Q 6.4.2）</w:t>
      </w:r>
    </w:p>
    <w:p w14:paraId="0C0BA32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在必要情况下（包括社会紧急状况），能支持将虚拟学习方法（数字、远程、分布式或在线学习）作为替代性或补充性的教学方法展开应用。（Q 6.4.3）</w:t>
      </w:r>
    </w:p>
    <w:p w14:paraId="5A0FEEA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1F29DBD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有效利用现有的信息技术是指通过现代信息技术手段构建校园数字化学习平台，使学生能够利用所有的教学资源，为学生利用信息技术提供支持。信息和通讯技术有助于学生自主学习和终身学习能力的培养 ，为学生接受未来的继续职业发展（CPD）或继续医学教育（CME）做好充分准备。（A 6.4. 1）</w:t>
      </w:r>
    </w:p>
    <w:p w14:paraId="682F4CA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分布式学习通常是在实际或虚拟地分布在不同地点的教学人员和监督人员的支持下，为在远离中心教学机构的不同地点的学生设计和开发多样的、有计划的学习课程。分布式学习是一种全体系的方法，包括所有的教与学、形成性和终结性评价、对学习的反馈、对学习者和教师的支持、管理和质量保障。分布式学习可以是整个课程计划或其中的一部分。（A 6.4.2）</w:t>
      </w:r>
    </w:p>
    <w:p w14:paraId="685FACD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6.5 教育专家</w:t>
      </w:r>
    </w:p>
    <w:p w14:paraId="1BB602D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5B27C3C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35D94A0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有制度和措施保证教育专家参与医学教育重要问题的决策，包括课程计划的制订，教学方法和考核与评价方式的选择、调整、改革等。（B 6.5. 1）</w:t>
      </w:r>
    </w:p>
    <w:p w14:paraId="407DBDB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77A5A66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2A63D8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充分发挥教育专家在教师成长中的作用。（Q 6.5. 1）</w:t>
      </w:r>
    </w:p>
    <w:p w14:paraId="115D511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重视培养校内教育专家的医学教育研究和评价能力。（Q 6.5.2）</w:t>
      </w:r>
    </w:p>
    <w:p w14:paraId="399D80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0ADED57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教育专家是指熟悉并研究医学教育问题、过程和实践且具有先进教育理念的人才，可以包括具有不同学科背景的教师、医生、管理者、研究人员等。教育专家可来自校内，也可以从其他高校或机构聘请。（A 6.5. 1）</w:t>
      </w:r>
    </w:p>
    <w:p w14:paraId="33ABFFC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6.6 教育交流</w:t>
      </w:r>
    </w:p>
    <w:p w14:paraId="3E79762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2529F90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38B1307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制定并实施与国内或国际其他教育机构合作的相关政策。（B 6.6. 1）</w:t>
      </w:r>
    </w:p>
    <w:p w14:paraId="4A68DC1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提供适当资源，促进学生、教师和管理人员等进行地区间及国际间的交流。（B 6.6.2）</w:t>
      </w:r>
    </w:p>
    <w:p w14:paraId="15F08E3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制定并实施课程学分转换的相关政策。（B 6.6.3）</w:t>
      </w:r>
    </w:p>
    <w:p w14:paraId="1B6F78E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3D4D9D8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1F7AF39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考虑教师及学生的需求，尊重各方的风俗习惯和文化背景等伦理原则，有目的地组织交流活动。（Q 6.6. 1）</w:t>
      </w:r>
    </w:p>
    <w:p w14:paraId="2ECC887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73963C5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课程学分转换需在学校之间签署双方互认协议，确保满足本校课程计划的要求。制定公开透明的学分体系、详细描述课程要求有利于推进课程学分转换和学生交流。（A 6.6. 1）</w:t>
      </w:r>
    </w:p>
    <w:p w14:paraId="0B7114E4">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7.教育评价</w:t>
      </w:r>
    </w:p>
    <w:p w14:paraId="0856F1D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7.1 教育监督与评价机制</w:t>
      </w:r>
    </w:p>
    <w:p w14:paraId="0344B3C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310ECB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2448494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有教育监督与评价的专职人员，并有相应机制，强调对课程计划、培养过程及结果的监督与评价。（B 7.1. 1）</w:t>
      </w:r>
    </w:p>
    <w:p w14:paraId="6B13B0B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依据专业的质量标准，对教育过程各环节提出具体的要求。（B 7.1.2）</w:t>
      </w:r>
    </w:p>
    <w:p w14:paraId="403F69B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将相关监督与评价结果用于课程计划的改进。（B 7.1.3）</w:t>
      </w:r>
    </w:p>
    <w:p w14:paraId="73B1BCB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使学校师生与管理人员了解教育监督与评价体系。（B 7.1.4）</w:t>
      </w:r>
    </w:p>
    <w:p w14:paraId="13D75A4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6D66201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72334CC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定期对课程计划进行全面评估，并形成周期性的报告。（Q 7.1. 1）</w:t>
      </w:r>
    </w:p>
    <w:p w14:paraId="4D35831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对学生的学习进行跟踪评价，如学习过程、学习能力变化、生活和学术上的支持等，并及时反馈给学生、教师、教学管理部门等利益相关方。（Q 7.1.2）</w:t>
      </w:r>
    </w:p>
    <w:p w14:paraId="4704A6A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建有教育评价的专门机构，并能够切实发挥作用。（Q 7.1.3）</w:t>
      </w:r>
    </w:p>
    <w:p w14:paraId="0216E76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培训相关评价人员，使其能够选择和使用合适、有效的评价方法。（Q 7.1.4）</w:t>
      </w:r>
    </w:p>
    <w:p w14:paraId="45142AE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31EF236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评价指根据相应的标准，运用科学手段，通过系统地收集信息资料和分析整理，对课程计划、培养过程和结果进行质量判断，为提高教育质量和教育决策提供依据的过程。信息资料可包括政策、规章制度、会议纪要、与其他教育机构的联合协议等；还可包括本科医学教育质量报告以及学生、教师、督导、外部专家、用人单位、主管部门等利益相关方关于教育教学的评价数据和结果。（A 7.1. 1）</w:t>
      </w:r>
    </w:p>
    <w:p w14:paraId="24CEB16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育监督指针对课程主要环节的观察和督导，包括日常资料收集等，目的在于保证教育活动的正常运行，并及时发现需要干预的环节。这种信息收集往往是与招生、学生考核与评价、毕业等相关联的行政管理过程的一部分。（A 7.1.2）</w:t>
      </w:r>
    </w:p>
    <w:p w14:paraId="74EDE5B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周期性的报告包括实施教学的环境、课程计划的具体内容和实 施、培养结果和社会责任的体现等。实施教学的环境包括医学 院校的组织制度环境、资源环境、学习环境和文化氛围。培养结果可通过校内外组织的考试[如各阶段综合考试、医学院校 临床医学专业（本科）水平测试、国家临床执业医师资格考试、住院医师规范化培训结业考试等] 、职业选择、就业去向、毕业后表现等来反映，可作为本科医学教育改进的参考。（A 7.1.3）</w:t>
      </w:r>
    </w:p>
    <w:p w14:paraId="7265614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7.2 教师和学生反馈</w:t>
      </w:r>
    </w:p>
    <w:p w14:paraId="0434C04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31B9AAC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5284072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采用多种评价方式，系统地搜集信息，分析教师和学生的反馈并做出回复。（B 7.2. 1）</w:t>
      </w:r>
    </w:p>
    <w:p w14:paraId="7FDC753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836019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83AE1C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将反馈结果用于课程计划的改进并取得成效。（Q 7.2. 1） </w:t>
      </w:r>
    </w:p>
    <w:p w14:paraId="31C62C5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50F63C9F">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反馈不仅包括教育过程、教育结果方面的信息，还应包括学校的政策措施、教师和学生的各种违纪行为的处理等。（A 7.2. 1）</w:t>
      </w:r>
    </w:p>
    <w:p w14:paraId="7649388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7.3 学生表现</w:t>
      </w:r>
    </w:p>
    <w:p w14:paraId="31ED721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5E3EA60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644097F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1FF5BC73">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将学生在校期间和毕业后的表现与学校办学宗旨、预期教育结</w:t>
      </w:r>
    </w:p>
    <w:p w14:paraId="17B45F2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果、课程计划和提供的教育资源联系起来。（B 7.3. 1）</w:t>
      </w:r>
    </w:p>
    <w:p w14:paraId="6C3F93D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0704540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9B76E4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将学生发展和毕业生质量的分析结果作为制定招生政策、课程计划修订、学生咨询服务的依据。（Q 7.3. 1）</w:t>
      </w:r>
    </w:p>
    <w:p w14:paraId="12393D6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2E2DB6E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学生在校期间和毕业后的表现可通过采集和使用各种教育结果数据，表明教育目标完成的程度进行体现。（A 7.3. 1）</w:t>
      </w:r>
    </w:p>
    <w:p w14:paraId="160203D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学生发展包括在校生的身心发展和学业发展。学业发展的测量和分析包括学习期限、考试分数、考试通过率、学业完成率和辍学率等。学校可通过问卷调查、座谈会、学业成就数据分析等方式对学生发展做教育增值评价。（A 7.3.2）</w:t>
      </w:r>
    </w:p>
    <w:p w14:paraId="3C91EF6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毕业生质量的分析应围绕毕业生基本要求的内容进行，包括毕业生的职业选择、临床实践的表现和晋升等信息的收集、整理和分析。（A 7.3.3）</w:t>
      </w:r>
    </w:p>
    <w:p w14:paraId="160A67B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7.4 利益相关方的参与</w:t>
      </w:r>
    </w:p>
    <w:p w14:paraId="322BBD6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5AFCF13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548A2D9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有教师、学生和行政管理部门人员等校内利益相关方参与教育监督与评价。（B 7.4. 1）</w:t>
      </w:r>
    </w:p>
    <w:p w14:paraId="1D3E6F8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307B339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227729C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3FDF990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鼓励校外利益相关方参与对课程计划的监督与评价，了解评估的结果。（Q 7.4. 1）</w:t>
      </w:r>
    </w:p>
    <w:p w14:paraId="320B95B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征询校外利益相关方对毕业生质量、课程计划的反馈意见。（Q 7.4.2）</w:t>
      </w:r>
    </w:p>
    <w:p w14:paraId="2847DE6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14E68B9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校外利益相关方包括其他学术和管理人员代表、社区和公众代表（如医疗服务的对象）、教育和卫生行政部门以及医疗卫生机构和毕业后教育工作者等。（A 7.4. 1）</w:t>
      </w:r>
    </w:p>
    <w:p w14:paraId="7C60880B">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黑体" w:hAnsi="黑体" w:eastAsia="黑体" w:cs="黑体"/>
          <w:b w:val="0"/>
          <w:bCs w:val="0"/>
          <w:spacing w:val="-4"/>
          <w:kern w:val="2"/>
          <w:sz w:val="28"/>
          <w:szCs w:val="28"/>
          <w:lang w:val="en-US" w:eastAsia="zh-CN" w:bidi="ar-SA"/>
        </w:rPr>
      </w:pPr>
      <w:r>
        <w:rPr>
          <w:rFonts w:hint="default" w:ascii="黑体" w:hAnsi="黑体" w:eastAsia="黑体" w:cs="黑体"/>
          <w:b w:val="0"/>
          <w:bCs w:val="0"/>
          <w:spacing w:val="-4"/>
          <w:kern w:val="2"/>
          <w:sz w:val="28"/>
          <w:szCs w:val="28"/>
          <w:lang w:val="en-US" w:eastAsia="zh-CN" w:bidi="ar-SA"/>
        </w:rPr>
        <w:t>8.科学研究</w:t>
      </w:r>
    </w:p>
    <w:p w14:paraId="3142CE9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8.1 教学与科学研究</w:t>
      </w:r>
    </w:p>
    <w:p w14:paraId="7DFC158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5A8A7FB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35B0CCA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制定并实施相关政策，促进科研与教学协调发展。（B 8.1. 1）</w:t>
      </w:r>
    </w:p>
    <w:p w14:paraId="226FA10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加强对医学教育及管理的研究，为教学改革与发展提供理论依据。（B 8.1.2）</w:t>
      </w:r>
    </w:p>
    <w:p w14:paraId="107974E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48F51DD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55BCB8B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将科研活动、科研成果引入教学过程，以培养学生的科学方法、科学思维及科学精神，保证科学研究和教学之间的良性互动。 （Q 8.1. 1）</w:t>
      </w:r>
    </w:p>
    <w:p w14:paraId="046E69C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建立专门的医学教育研究机构，在推进医学教育改革、提高教师的教育科学研究能力方面切实发挥作用。（Q 8.1.2）</w:t>
      </w:r>
    </w:p>
    <w:p w14:paraId="7CB657C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4DD128C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医学教育研究是指根据相关理论针对医学教育活动开展的教育科学研究，主要对医学教育理论、实践和社会层面的问题进行研究，目的是深入揭示医学教育规律，为医学教育改革提供理论与研究支撑。（A 8.1. 1）</w:t>
      </w:r>
    </w:p>
    <w:p w14:paraId="4D4B6FB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8.2 教师科研</w:t>
      </w:r>
    </w:p>
    <w:p w14:paraId="44E8DA8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13950EE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57A2917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教师提供基本的科学研究条件，鼓励教师开展科学研究，促进科研与教学相结合。（B 8.2. 1）</w:t>
      </w:r>
    </w:p>
    <w:p w14:paraId="641B110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要求教师具备相应的科学研究能力。（B 8.2.2）</w:t>
      </w:r>
    </w:p>
    <w:p w14:paraId="701EC64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0D843D1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6714105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有相应机制保证教师参与医学教育研究，提升教学能力。（Q 8.2. 1）</w:t>
      </w:r>
    </w:p>
    <w:p w14:paraId="47B1E22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8.3 学生科研</w:t>
      </w:r>
    </w:p>
    <w:p w14:paraId="74B88B7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51B1375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6C4EEE1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将科学研究活动作为培养学生科学素养和创新思维的重要途径，采取积极、有效的措施为学生创造参与科学研究的机会与条件。（B 8.3. 1）</w:t>
      </w:r>
    </w:p>
    <w:p w14:paraId="2337BD6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在课程计划中安排综合性、设计性实验，开设学术讲座、组织科研小组等，开展有利于培养学生科研能力的活动。（B 8.3.2）</w:t>
      </w:r>
    </w:p>
    <w:p w14:paraId="64333B08">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使学生了解医学科学研究的基本方法和伦理原则。（B 8.3.3）</w:t>
      </w:r>
    </w:p>
    <w:p w14:paraId="3D0DE3D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75CFB3B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0C9F325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为学生提供科学研究经费，以满足学生参与科学研究的需要。</w:t>
      </w:r>
    </w:p>
    <w:p w14:paraId="3BAC4E9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（Q 8.3. 1）</w:t>
      </w:r>
    </w:p>
    <w:p w14:paraId="38241F34">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9. 管理与行政</w:t>
      </w:r>
    </w:p>
    <w:p w14:paraId="4250DCC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9.1 管理体制与机制</w:t>
      </w:r>
    </w:p>
    <w:p w14:paraId="4DA2B80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48A5525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792AEFF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阐述学校、医学院及附属医院之间的管理体制与结构，界定学校、医学院及附属医院的管理职能，建立学校、医学院及附属医院之间的有效管理机制，保证医学教育的完整性，确保教学的有效运行和可持续发展。（B 9.1. 1）</w:t>
      </w:r>
    </w:p>
    <w:p w14:paraId="0B658AD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设立相应委员会，审议课程计划、教学改革及科学研究等重要事项。委员会应该包括院校领导、师生代表和管理人员等校内利益相关方代表。（B 9.1.2）</w:t>
      </w:r>
    </w:p>
    <w:p w14:paraId="27CA395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76A9F91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51FE19F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在相应委员会中包含上级行政主管部门、医疗卫生机构及社会公众等校外利益相关方代表。（Q 9.1. 1）</w:t>
      </w:r>
    </w:p>
    <w:p w14:paraId="370060D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 xml:space="preserve">保证医学教育管理工作和决策过程的透明性。（Q 9.1.2） </w:t>
      </w:r>
    </w:p>
    <w:p w14:paraId="34963B2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5C70549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管理主要涉及政策制定、决策过程及政策执行的监管。学校政策和教育教学政策通常涵盖医学办学宗旨、课程计划、招生政策、员工招聘与选拔等方面的规定以及与医疗卫生部门及其他校外机构的联系与合作方面的决策。（A 9.1. 1）</w:t>
      </w:r>
    </w:p>
    <w:p w14:paraId="43E81E0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委员会组成人员应有广泛的代表性。委员会的活动应明确组织者或召集人，相关人员参与活动的时间、内容应有记录。（A 9.1.2）</w:t>
      </w:r>
    </w:p>
    <w:p w14:paraId="3C31CA42">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透明性可通过简讯、网络信息和会议报道等方式得以实现。（A 9.1.3）</w:t>
      </w:r>
    </w:p>
    <w:p w14:paraId="2C30F96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9.2 医学教育主管领导</w:t>
      </w:r>
    </w:p>
    <w:p w14:paraId="1519DDA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030D38F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0669EE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7CABF4C0">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明确阐述医学教育主管领导对医学教育的管理职责和在人财物等方面的权限，并确保有效执行。（B 9.2. 1）</w:t>
      </w:r>
    </w:p>
    <w:p w14:paraId="1D75A79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重视医学教育主管领导的专业背景。（B 9.2.2）</w:t>
      </w:r>
    </w:p>
    <w:p w14:paraId="51FFE98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保证医学教育管理部门领导任职时间相对稳定。（B 9.2.3）</w:t>
      </w:r>
    </w:p>
    <w:p w14:paraId="346EE86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2565360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7A33734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定期评估医学教育主管领导在教学管理过程中的业绩。（Q 9.2. 1）</w:t>
      </w:r>
    </w:p>
    <w:p w14:paraId="1A1F2E3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40C1744C">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医学教育主管领导包括医学教育主要负责领导及管理部门中负责教学、科研和服务等方面学术事宜决策的人员。（A 9.2. 1）</w:t>
      </w:r>
    </w:p>
    <w:p w14:paraId="7773FFA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9.3 行政人员及管理</w:t>
      </w:r>
    </w:p>
    <w:p w14:paraId="5397514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6907EB1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426F5EC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配齐医学教育管理队伍人员，建立结构合理、理念先进的行政管理队伍，确保医学教育的顺利实施。（B 9.3. 1）</w:t>
      </w:r>
    </w:p>
    <w:p w14:paraId="650D7A4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建立科学的管理制度及操作程序，确保资源合理配置。（B 9.3.2）</w:t>
      </w:r>
    </w:p>
    <w:p w14:paraId="34473D6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有相应措施保证医学教育管理人员理解医学教育并了解医学教育全过程。（B 9.3.3）</w:t>
      </w:r>
    </w:p>
    <w:p w14:paraId="2B63DA7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7B71364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76EA866">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定期评价并改进医学教育管理工作。（Q 9.3. 1）</w:t>
      </w:r>
    </w:p>
    <w:p w14:paraId="1E3A827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bCs/>
          <w:sz w:val="28"/>
          <w:szCs w:val="36"/>
          <w:lang w:val="en-US" w:eastAsia="zh-CN"/>
        </w:rPr>
        <w:t>9.4 与医疗卫生机构、行政管理部门的相互关系</w:t>
      </w:r>
    </w:p>
    <w:p w14:paraId="7B292D1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2E30618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5E23735B">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与行政管理部门加强联系和交流，争取各方面对人才培养的支持。（B 9.4. 1）</w:t>
      </w:r>
    </w:p>
    <w:p w14:paraId="5C89B7E3">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与相关医疗卫生机构签署协议，保证教学的顺利实施。（B 9.4.2）</w:t>
      </w:r>
    </w:p>
    <w:p w14:paraId="6B035CA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5C73A73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DDDAD27">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与医疗卫生机构和行政管理部门开展更广泛的合作与交流，保证合作与交流的可持续发展。（Q 9.4. 1）</w:t>
      </w:r>
    </w:p>
    <w:p w14:paraId="4CBC49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【注释】</w:t>
      </w:r>
    </w:p>
    <w:p w14:paraId="3615536A">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相关医疗卫生机构除包含公立或私立医疗服务机构、医学研究机构之外，还包含健康促进组织、疾病防控机构等。（A 9.4. 1）</w:t>
      </w:r>
    </w:p>
    <w:p w14:paraId="102F47D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广泛的合作与交流指达成正式协议，明确合作的内容与形式并开展合作项目等。（A 9.4.2）</w:t>
      </w:r>
    </w:p>
    <w:p w14:paraId="00CBC82C">
      <w:pPr>
        <w:keepNext w:val="0"/>
        <w:keepLines w:val="0"/>
        <w:pageBreakBefore w:val="0"/>
        <w:widowControl w:val="0"/>
        <w:numPr>
          <w:ilvl w:val="0"/>
          <w:numId w:val="0"/>
        </w:numPr>
        <w:kinsoku/>
        <w:wordWrap/>
        <w:overflowPunct/>
        <w:topLinePunct w:val="0"/>
        <w:autoSpaceDE/>
        <w:autoSpaceDN/>
        <w:bidi w:val="0"/>
        <w:adjustRightInd w:val="0"/>
        <w:snapToGrid w:val="0"/>
        <w:spacing w:before="78" w:line="360" w:lineRule="auto"/>
        <w:textAlignment w:val="auto"/>
        <w:outlineLvl w:val="1"/>
        <w:rPr>
          <w:rFonts w:hint="default" w:ascii="Times New Roman" w:hAnsi="Times New Roman" w:eastAsia="仿宋_GB2312" w:cs="Times New Roman"/>
          <w:sz w:val="28"/>
          <w:szCs w:val="36"/>
          <w:lang w:val="en-US" w:eastAsia="zh-CN"/>
        </w:rPr>
      </w:pPr>
      <w:r>
        <w:rPr>
          <w:rFonts w:hint="default" w:ascii="黑体" w:hAnsi="黑体" w:eastAsia="黑体" w:cs="黑体"/>
          <w:b w:val="0"/>
          <w:bCs w:val="0"/>
          <w:spacing w:val="-4"/>
          <w:kern w:val="2"/>
          <w:sz w:val="28"/>
          <w:szCs w:val="28"/>
          <w:lang w:val="en-US" w:eastAsia="zh-CN" w:bidi="ar-SA"/>
        </w:rPr>
        <w:t>10. 改革与发展</w:t>
      </w:r>
    </w:p>
    <w:p w14:paraId="683C9B8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基本标准：</w:t>
      </w:r>
    </w:p>
    <w:p w14:paraId="0F6BD99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医学院校必须：</w:t>
      </w:r>
    </w:p>
    <w:p w14:paraId="021839E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对医学教育教学改革进行系统设计，展开循证研究，并对改革的效果进行科学评价。（B 10.0. 1）</w:t>
      </w:r>
    </w:p>
    <w:p w14:paraId="2C0EB82D">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建立相应机制，定期回顾和评估自身发展，明确自身存在的问题并持续改进。（B 10.0.2）</w:t>
      </w:r>
    </w:p>
    <w:p w14:paraId="68BC4DA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发展标准：</w:t>
      </w:r>
    </w:p>
    <w:p w14:paraId="7FA265F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医学院校应当：</w:t>
      </w:r>
    </w:p>
    <w:p w14:paraId="397CA4D1">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基于前瞻性研究、医学教育文献研究、各类评估评价结果等不断反思，持续改进。（Q 10.0. 1）</w:t>
      </w:r>
    </w:p>
    <w:p w14:paraId="2228F0E5">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通过改革形成相应的政策和措施，并与既往经验、现状和未来发展相适应 。（Q 10.0.2）</w:t>
      </w:r>
    </w:p>
    <w:p w14:paraId="3CB42B5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sz w:val="28"/>
          <w:szCs w:val="36"/>
          <w:lang w:val="en-US" w:eastAsia="zh-CN"/>
        </w:rPr>
        <w:t>基于卫生健康需求变化、社会与科技发展趋势，调整教育策略。 （Q 10.0.3）</w:t>
      </w:r>
    </w:p>
    <w:p w14:paraId="68EE162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72D237B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4B60361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sz w:val="28"/>
          <w:szCs w:val="36"/>
          <w:lang w:val="en-US" w:eastAsia="zh-CN"/>
        </w:rPr>
      </w:pPr>
    </w:p>
    <w:p w14:paraId="57D6110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p>
    <w:p w14:paraId="24A3AFC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sz w:val="28"/>
          <w:szCs w:val="36"/>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B4F55">
    <w:pPr>
      <w:pStyle w:val="2"/>
    </w:pPr>
    <w:r>
      <w:rPr>
        <w:sz w:val="18"/>
      </w:rPr>
      <mc:AlternateContent>
        <mc:Choice Requires="wps">
          <w:drawing>
            <wp:anchor distT="0" distB="0" distL="114300" distR="114300" simplePos="0" relativeHeight="251659264" behindDoc="0" locked="0" layoutInCell="1" allowOverlap="1">
              <wp:simplePos x="0" y="0"/>
              <wp:positionH relativeFrom="margin">
                <wp:posOffset>2421890</wp:posOffset>
              </wp:positionH>
              <wp:positionV relativeFrom="paragraph">
                <wp:posOffset>-65405</wp:posOffset>
              </wp:positionV>
              <wp:extent cx="298450" cy="2114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98450" cy="211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565C9">
                          <w:pPr>
                            <w:pStyle w:val="2"/>
                            <w:rPr>
                              <w:rFonts w:hint="eastAsia" w:eastAsiaTheme="minorEastAsia"/>
                              <w:sz w:val="24"/>
                              <w:szCs w:val="40"/>
                              <w:lang w:val="en-US" w:eastAsia="zh-CN"/>
                            </w:rPr>
                          </w:pPr>
                          <w:r>
                            <w:rPr>
                              <w:rFonts w:hint="eastAsia"/>
                              <w:sz w:val="24"/>
                              <w:szCs w:val="40"/>
                              <w:lang w:val="en-US" w:eastAsia="zh-CN"/>
                            </w:rPr>
                            <w:t>-</w:t>
                          </w: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r>
                            <w:rPr>
                              <w:rFonts w:hint="eastAsia"/>
                              <w:sz w:val="24"/>
                              <w:szCs w:val="40"/>
                              <w:lang w:val="en-US"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0.7pt;margin-top:-5.15pt;height:16.65pt;width:23.5pt;mso-position-horizontal-relative:margin;z-index:251659264;mso-width-relative:page;mso-height-relative:page;" filled="f" stroked="f" coordsize="21600,21600" o:gfxdata="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HFRX9gAAAAKAQAADwAAAAAAAAABACAAAAAiAAAAZHJzL2Rvd25y&#10;ZXYueG1sUEsBAhQAFAAAAAgAh07iQFkF4vQ3AgAAYQQAAA4AAAAAAAAAAQAgAAAAJwEAAGRycy9l&#10;Mm9Eb2MueG1sUEsFBgAAAAAGAAYAWQEAANAFAAAAAA==&#10;">
              <v:fill on="f" focussize="0,0"/>
              <v:stroke on="f" weight="0.5pt"/>
              <v:imagedata o:title=""/>
              <o:lock v:ext="edit" aspectratio="f"/>
              <v:textbox inset="0mm,0mm,0mm,0mm">
                <w:txbxContent>
                  <w:p w14:paraId="737565C9">
                    <w:pPr>
                      <w:pStyle w:val="2"/>
                      <w:rPr>
                        <w:rFonts w:hint="eastAsia" w:eastAsiaTheme="minorEastAsia"/>
                        <w:sz w:val="24"/>
                        <w:szCs w:val="40"/>
                        <w:lang w:val="en-US" w:eastAsia="zh-CN"/>
                      </w:rPr>
                    </w:pPr>
                    <w:r>
                      <w:rPr>
                        <w:rFonts w:hint="eastAsia"/>
                        <w:sz w:val="24"/>
                        <w:szCs w:val="40"/>
                        <w:lang w:val="en-US" w:eastAsia="zh-CN"/>
                      </w:rPr>
                      <w:t>-</w:t>
                    </w: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r>
                      <w:rPr>
                        <w:rFonts w:hint="eastAsia"/>
                        <w:sz w:val="24"/>
                        <w:szCs w:val="40"/>
                        <w:lang w:val="en-US"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334B9"/>
    <w:multiLevelType w:val="multilevel"/>
    <w:tmpl w:val="A53334B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AEFFEDC9"/>
    <w:multiLevelType w:val="singleLevel"/>
    <w:tmpl w:val="AEFFEDC9"/>
    <w:lvl w:ilvl="0" w:tentative="0">
      <w:start w:val="1"/>
      <w:numFmt w:val="bullet"/>
      <w:lvlText w:val=""/>
      <w:lvlJc w:val="left"/>
      <w:pPr>
        <w:ind w:left="420" w:hanging="420"/>
      </w:pPr>
      <w:rPr>
        <w:rFonts w:hint="default" w:ascii="Wingdings" w:hAnsi="Wingdings"/>
      </w:rPr>
    </w:lvl>
  </w:abstractNum>
  <w:abstractNum w:abstractNumId="2">
    <w:nsid w:val="B4E0E03B"/>
    <w:multiLevelType w:val="multilevel"/>
    <w:tmpl w:val="B4E0E0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D6B23F18"/>
    <w:multiLevelType w:val="multilevel"/>
    <w:tmpl w:val="D6B23F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
    <w:nsid w:val="E7092991"/>
    <w:multiLevelType w:val="singleLevel"/>
    <w:tmpl w:val="E7092991"/>
    <w:lvl w:ilvl="0" w:tentative="0">
      <w:start w:val="1"/>
      <w:numFmt w:val="bullet"/>
      <w:lvlText w:val=""/>
      <w:lvlJc w:val="left"/>
      <w:pPr>
        <w:ind w:left="420" w:hanging="420"/>
      </w:pPr>
      <w:rPr>
        <w:rFonts w:hint="default" w:ascii="Wingdings" w:hAnsi="Wingdings"/>
      </w:rPr>
    </w:lvl>
  </w:abstractNum>
  <w:abstractNum w:abstractNumId="5">
    <w:nsid w:val="F2C14826"/>
    <w:multiLevelType w:val="singleLevel"/>
    <w:tmpl w:val="F2C14826"/>
    <w:lvl w:ilvl="0" w:tentative="0">
      <w:start w:val="1"/>
      <w:numFmt w:val="bullet"/>
      <w:lvlText w:val=""/>
      <w:lvlJc w:val="left"/>
      <w:pPr>
        <w:ind w:left="420" w:hanging="420"/>
      </w:pPr>
      <w:rPr>
        <w:rFonts w:hint="default" w:ascii="Wingdings" w:hAnsi="Wingdings"/>
      </w:rPr>
    </w:lvl>
  </w:abstractNum>
  <w:abstractNum w:abstractNumId="6">
    <w:nsid w:val="F568E830"/>
    <w:multiLevelType w:val="singleLevel"/>
    <w:tmpl w:val="F568E830"/>
    <w:lvl w:ilvl="0" w:tentative="0">
      <w:start w:val="1"/>
      <w:numFmt w:val="bullet"/>
      <w:lvlText w:val=""/>
      <w:lvlJc w:val="left"/>
      <w:pPr>
        <w:ind w:left="420" w:hanging="420"/>
      </w:pPr>
      <w:rPr>
        <w:rFonts w:hint="default" w:ascii="Wingdings" w:hAnsi="Wingdings"/>
      </w:rPr>
    </w:lvl>
  </w:abstractNum>
  <w:abstractNum w:abstractNumId="7">
    <w:nsid w:val="F753AE89"/>
    <w:multiLevelType w:val="singleLevel"/>
    <w:tmpl w:val="F753AE89"/>
    <w:lvl w:ilvl="0" w:tentative="0">
      <w:start w:val="1"/>
      <w:numFmt w:val="decimal"/>
      <w:lvlText w:val="%1."/>
      <w:lvlJc w:val="left"/>
      <w:pPr>
        <w:tabs>
          <w:tab w:val="left" w:pos="312"/>
        </w:tabs>
      </w:pPr>
    </w:lvl>
  </w:abstractNum>
  <w:abstractNum w:abstractNumId="8">
    <w:nsid w:val="252D79DC"/>
    <w:multiLevelType w:val="singleLevel"/>
    <w:tmpl w:val="252D79DC"/>
    <w:lvl w:ilvl="0" w:tentative="0">
      <w:start w:val="3"/>
      <w:numFmt w:val="decimal"/>
      <w:lvlText w:val="%1."/>
      <w:lvlJc w:val="left"/>
      <w:pPr>
        <w:tabs>
          <w:tab w:val="left" w:pos="312"/>
        </w:tabs>
      </w:pPr>
    </w:lvl>
  </w:abstractNum>
  <w:abstractNum w:abstractNumId="9">
    <w:nsid w:val="2EA7C94D"/>
    <w:multiLevelType w:val="singleLevel"/>
    <w:tmpl w:val="2EA7C94D"/>
    <w:lvl w:ilvl="0" w:tentative="0">
      <w:start w:val="1"/>
      <w:numFmt w:val="decimal"/>
      <w:lvlText w:val="%1."/>
      <w:lvlJc w:val="left"/>
      <w:pPr>
        <w:tabs>
          <w:tab w:val="left" w:pos="312"/>
        </w:tabs>
      </w:pPr>
    </w:lvl>
  </w:abstractNum>
  <w:abstractNum w:abstractNumId="10">
    <w:nsid w:val="3605F026"/>
    <w:multiLevelType w:val="singleLevel"/>
    <w:tmpl w:val="3605F026"/>
    <w:lvl w:ilvl="0" w:tentative="0">
      <w:start w:val="1"/>
      <w:numFmt w:val="decimal"/>
      <w:lvlText w:val="%1."/>
      <w:lvlJc w:val="left"/>
      <w:pPr>
        <w:tabs>
          <w:tab w:val="left" w:pos="312"/>
        </w:tabs>
      </w:pPr>
    </w:lvl>
  </w:abstractNum>
  <w:abstractNum w:abstractNumId="11">
    <w:nsid w:val="383B72F0"/>
    <w:multiLevelType w:val="multilevel"/>
    <w:tmpl w:val="383B72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2">
    <w:nsid w:val="571B100C"/>
    <w:multiLevelType w:val="singleLevel"/>
    <w:tmpl w:val="571B100C"/>
    <w:lvl w:ilvl="0" w:tentative="0">
      <w:start w:val="1"/>
      <w:numFmt w:val="bullet"/>
      <w:lvlText w:val=""/>
      <w:lvlJc w:val="left"/>
      <w:pPr>
        <w:ind w:left="420" w:hanging="420"/>
      </w:pPr>
      <w:rPr>
        <w:rFonts w:hint="default" w:ascii="Wingdings" w:hAnsi="Wingdings"/>
      </w:rPr>
    </w:lvl>
  </w:abstractNum>
  <w:abstractNum w:abstractNumId="13">
    <w:nsid w:val="5C2D6ECA"/>
    <w:multiLevelType w:val="singleLevel"/>
    <w:tmpl w:val="5C2D6ECA"/>
    <w:lvl w:ilvl="0" w:tentative="0">
      <w:start w:val="1"/>
      <w:numFmt w:val="bullet"/>
      <w:lvlText w:val=""/>
      <w:lvlJc w:val="left"/>
      <w:pPr>
        <w:ind w:left="420" w:hanging="420"/>
      </w:pPr>
      <w:rPr>
        <w:rFonts w:hint="default" w:ascii="Wingdings" w:hAnsi="Wingdings"/>
      </w:rPr>
    </w:lvl>
  </w:abstractNum>
  <w:abstractNum w:abstractNumId="14">
    <w:nsid w:val="6989CE01"/>
    <w:multiLevelType w:val="singleLevel"/>
    <w:tmpl w:val="6989CE01"/>
    <w:lvl w:ilvl="0" w:tentative="0">
      <w:start w:val="1"/>
      <w:numFmt w:val="decimal"/>
      <w:lvlText w:val="%1."/>
      <w:lvlJc w:val="left"/>
      <w:pPr>
        <w:tabs>
          <w:tab w:val="left" w:pos="312"/>
        </w:tabs>
      </w:pPr>
    </w:lvl>
  </w:abstractNum>
  <w:abstractNum w:abstractNumId="15">
    <w:nsid w:val="7A64BEB8"/>
    <w:multiLevelType w:val="multilevel"/>
    <w:tmpl w:val="7A64BEB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8"/>
  </w:num>
  <w:num w:numId="2">
    <w:abstractNumId w:val="9"/>
  </w:num>
  <w:num w:numId="3">
    <w:abstractNumId w:val="14"/>
  </w:num>
  <w:num w:numId="4">
    <w:abstractNumId w:val="7"/>
  </w:num>
  <w:num w:numId="5">
    <w:abstractNumId w:val="10"/>
  </w:num>
  <w:num w:numId="6">
    <w:abstractNumId w:val="13"/>
  </w:num>
  <w:num w:numId="7">
    <w:abstractNumId w:val="2"/>
  </w:num>
  <w:num w:numId="8">
    <w:abstractNumId w:val="1"/>
  </w:num>
  <w:num w:numId="9">
    <w:abstractNumId w:val="15"/>
  </w:num>
  <w:num w:numId="10">
    <w:abstractNumId w:val="6"/>
  </w:num>
  <w:num w:numId="11">
    <w:abstractNumId w:val="11"/>
  </w:num>
  <w:num w:numId="12">
    <w:abstractNumId w:val="12"/>
  </w:num>
  <w:num w:numId="13">
    <w:abstractNumId w:val="0"/>
  </w:num>
  <w:num w:numId="14">
    <w:abstractNumId w:val="4"/>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102AD"/>
    <w:rsid w:val="04B72887"/>
    <w:rsid w:val="075D1542"/>
    <w:rsid w:val="08F149E7"/>
    <w:rsid w:val="09163C4A"/>
    <w:rsid w:val="0A64133D"/>
    <w:rsid w:val="0A782765"/>
    <w:rsid w:val="0AB13BD8"/>
    <w:rsid w:val="0C9475FE"/>
    <w:rsid w:val="105A5294"/>
    <w:rsid w:val="177B1D3D"/>
    <w:rsid w:val="1E44540F"/>
    <w:rsid w:val="21254A6E"/>
    <w:rsid w:val="21E40288"/>
    <w:rsid w:val="247F502E"/>
    <w:rsid w:val="254C31D1"/>
    <w:rsid w:val="284E0B51"/>
    <w:rsid w:val="28FE22DD"/>
    <w:rsid w:val="292C20E8"/>
    <w:rsid w:val="2BF911EA"/>
    <w:rsid w:val="2CC4484F"/>
    <w:rsid w:val="2FE51D9B"/>
    <w:rsid w:val="34FA5A0C"/>
    <w:rsid w:val="36071AFC"/>
    <w:rsid w:val="361E0459"/>
    <w:rsid w:val="3659703F"/>
    <w:rsid w:val="367479D5"/>
    <w:rsid w:val="386121DB"/>
    <w:rsid w:val="408F1FDB"/>
    <w:rsid w:val="40B10B9B"/>
    <w:rsid w:val="444255B6"/>
    <w:rsid w:val="450D7972"/>
    <w:rsid w:val="49184B37"/>
    <w:rsid w:val="5126700E"/>
    <w:rsid w:val="535E583D"/>
    <w:rsid w:val="53DC5642"/>
    <w:rsid w:val="574116B8"/>
    <w:rsid w:val="58B72B6F"/>
    <w:rsid w:val="59296DC2"/>
    <w:rsid w:val="5C1452DF"/>
    <w:rsid w:val="5EBF3633"/>
    <w:rsid w:val="63E854C0"/>
    <w:rsid w:val="64D55EED"/>
    <w:rsid w:val="65C47269"/>
    <w:rsid w:val="671B1F64"/>
    <w:rsid w:val="672B3AD2"/>
    <w:rsid w:val="6A6D212C"/>
    <w:rsid w:val="6C7A3FEB"/>
    <w:rsid w:val="6EC101CB"/>
    <w:rsid w:val="703567AB"/>
    <w:rsid w:val="704B6A01"/>
    <w:rsid w:val="757C3BD5"/>
    <w:rsid w:val="769767EC"/>
    <w:rsid w:val="791365FE"/>
    <w:rsid w:val="796160CA"/>
    <w:rsid w:val="79CE4904"/>
    <w:rsid w:val="7B1947E5"/>
    <w:rsid w:val="7BB06386"/>
    <w:rsid w:val="7BB37C24"/>
    <w:rsid w:val="7BE75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semiHidden/>
    <w:qFormat/>
    <w:uiPriority w:val="0"/>
    <w:rPr>
      <w:rFonts w:ascii="宋体" w:hAnsi="宋体" w:eastAsia="宋体" w:cs="宋体"/>
      <w:sz w:val="20"/>
      <w:szCs w:val="20"/>
      <w:lang w:val="en-US" w:eastAsia="en-US" w:bidi="ar-SA"/>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19779</Words>
  <Characters>21130</Characters>
  <Lines>0</Lines>
  <Paragraphs>0</Paragraphs>
  <TotalTime>83</TotalTime>
  <ScaleCrop>false</ScaleCrop>
  <LinksUpToDate>false</LinksUpToDate>
  <CharactersWithSpaces>21418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2025-12-29T05:49:00Z</dcterms:created>
  <dc:creator>小衣</dc:creator>
  <cp:lastModifiedBy>衣志爽</cp:lastModifiedBy>
  <dcterms:modified xsi:type="dcterms:W3CDTF">2026-01-30T07:51:46Z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eyJoZGlkIjoiZjA0ZmI4ZmFmNWZjZTRmMDZkN2NkZWY1ZGJjMDQ1NWIiLCJ1c2VySWQiOiI0MTEzMDI0NTgifQ==</vt:lpwstr>
  </property>
  <property fmtid="{D5CDD505-2E9C-101B-9397-08002B2CF9AE}" pid="4" name="ICV">
    <vt:lpwstr>5C57E4E4BFD1409099AE4A79E1AC96A5_12</vt:lpwstr>
  </property>
</Properties>
</file>